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85A" w:rsidRDefault="00FB1B73" w:rsidP="006F685A">
      <w:pPr>
        <w:ind w:left="1276" w:hanging="567"/>
        <w:jc w:val="center"/>
        <w:rPr>
          <w:b/>
          <w:color w:val="000000"/>
          <w:sz w:val="28"/>
          <w:szCs w:val="28"/>
        </w:rPr>
      </w:pPr>
      <w:r>
        <w:rPr>
          <w:b/>
          <w:color w:val="000000"/>
          <w:sz w:val="28"/>
          <w:szCs w:val="28"/>
        </w:rPr>
        <w:t>Обґрунтування</w:t>
      </w:r>
    </w:p>
    <w:p w:rsidR="00BB6F69" w:rsidRPr="00D705D9" w:rsidRDefault="00BB6F69" w:rsidP="004C3B7A">
      <w:pPr>
        <w:ind w:left="1276" w:hanging="567"/>
        <w:jc w:val="center"/>
        <w:rPr>
          <w:b/>
          <w:color w:val="000000"/>
          <w:sz w:val="28"/>
          <w:szCs w:val="28"/>
        </w:rPr>
      </w:pPr>
      <w:r>
        <w:rPr>
          <w:b/>
          <w:color w:val="000000"/>
          <w:sz w:val="28"/>
          <w:szCs w:val="28"/>
        </w:rPr>
        <w:t>щодо необхідності внесенн</w:t>
      </w:r>
      <w:r w:rsidR="002855BE">
        <w:rPr>
          <w:b/>
          <w:color w:val="000000"/>
          <w:sz w:val="28"/>
          <w:szCs w:val="28"/>
        </w:rPr>
        <w:t>я</w:t>
      </w:r>
      <w:r>
        <w:rPr>
          <w:b/>
          <w:color w:val="000000"/>
          <w:sz w:val="28"/>
          <w:szCs w:val="28"/>
        </w:rPr>
        <w:t xml:space="preserve"> змі</w:t>
      </w:r>
      <w:r w:rsidR="00DD11B0">
        <w:rPr>
          <w:b/>
          <w:color w:val="000000"/>
          <w:sz w:val="28"/>
          <w:szCs w:val="28"/>
        </w:rPr>
        <w:t xml:space="preserve">н до </w:t>
      </w:r>
      <w:r w:rsidR="00DD11B0" w:rsidRPr="00782610">
        <w:rPr>
          <w:b/>
          <w:color w:val="000000"/>
          <w:sz w:val="28"/>
          <w:szCs w:val="28"/>
        </w:rPr>
        <w:t>Ремонтної</w:t>
      </w:r>
      <w:r w:rsidR="00DD11B0">
        <w:rPr>
          <w:b/>
          <w:color w:val="000000"/>
          <w:sz w:val="28"/>
          <w:szCs w:val="28"/>
        </w:rPr>
        <w:t xml:space="preserve"> програми </w:t>
      </w:r>
      <w:r w:rsidR="004C3B7A" w:rsidRPr="004C3B7A">
        <w:rPr>
          <w:b/>
          <w:color w:val="000000"/>
          <w:sz w:val="28"/>
          <w:szCs w:val="28"/>
        </w:rPr>
        <w:t>у тарифах з відпуску електричної та виробництва теплової енергії на 2019 рік</w:t>
      </w:r>
      <w:r w:rsidR="00AF3C29">
        <w:rPr>
          <w:b/>
          <w:color w:val="000000"/>
          <w:sz w:val="28"/>
          <w:szCs w:val="28"/>
        </w:rPr>
        <w:t xml:space="preserve"> </w:t>
      </w:r>
      <w:r w:rsidR="004C3B7A">
        <w:rPr>
          <w:b/>
          <w:color w:val="000000"/>
          <w:sz w:val="28"/>
          <w:szCs w:val="28"/>
        </w:rPr>
        <w:t>по</w:t>
      </w:r>
      <w:r w:rsidR="00AF3C29">
        <w:rPr>
          <w:b/>
          <w:color w:val="000000"/>
          <w:sz w:val="28"/>
          <w:szCs w:val="28"/>
        </w:rPr>
        <w:t xml:space="preserve"> </w:t>
      </w:r>
      <w:r w:rsidR="004C3B7A">
        <w:rPr>
          <w:b/>
          <w:color w:val="000000"/>
          <w:sz w:val="28"/>
          <w:szCs w:val="28"/>
        </w:rPr>
        <w:t xml:space="preserve">ТОВ </w:t>
      </w:r>
      <w:r w:rsidR="004C3B7A">
        <w:rPr>
          <w:b/>
          <w:color w:val="000000"/>
          <w:sz w:val="28"/>
          <w:szCs w:val="28"/>
          <w:lang w:val="ru-RU"/>
        </w:rPr>
        <w:t>Ф</w:t>
      </w:r>
      <w:r w:rsidR="004C3B7A">
        <w:rPr>
          <w:b/>
          <w:color w:val="000000"/>
          <w:sz w:val="28"/>
          <w:szCs w:val="28"/>
        </w:rPr>
        <w:t xml:space="preserve">ІРМА "ТЕХНОВА" </w:t>
      </w:r>
    </w:p>
    <w:p w:rsidR="004C3B7A" w:rsidRDefault="004C3B7A" w:rsidP="00AF3C29">
      <w:pPr>
        <w:ind w:firstLine="567"/>
        <w:jc w:val="both"/>
        <w:rPr>
          <w:szCs w:val="24"/>
        </w:rPr>
      </w:pPr>
      <w:r>
        <w:rPr>
          <w:szCs w:val="24"/>
        </w:rPr>
        <w:t xml:space="preserve">Тарифи </w:t>
      </w:r>
      <w:r w:rsidRPr="004C3B7A">
        <w:rPr>
          <w:szCs w:val="24"/>
        </w:rPr>
        <w:t xml:space="preserve">з відпуску електричної та виробництва теплової енергії на 2019 рік </w:t>
      </w:r>
      <w:r>
        <w:rPr>
          <w:szCs w:val="24"/>
        </w:rPr>
        <w:t>для</w:t>
      </w:r>
      <w:r w:rsidRPr="004C3B7A">
        <w:rPr>
          <w:szCs w:val="24"/>
        </w:rPr>
        <w:t xml:space="preserve"> ТОВ ФІРМА "ТЕХНОВА"</w:t>
      </w:r>
      <w:r>
        <w:rPr>
          <w:szCs w:val="24"/>
        </w:rPr>
        <w:t xml:space="preserve"> затверджені постановою</w:t>
      </w:r>
      <w:r w:rsidRPr="004C3B7A">
        <w:rPr>
          <w:szCs w:val="24"/>
        </w:rPr>
        <w:t xml:space="preserve"> </w:t>
      </w:r>
      <w:r w:rsidRPr="00AF3C29">
        <w:rPr>
          <w:szCs w:val="24"/>
        </w:rPr>
        <w:t>НКРЕКП № 1818 від 11.12.2018 р.</w:t>
      </w:r>
      <w:r>
        <w:rPr>
          <w:szCs w:val="24"/>
        </w:rPr>
        <w:t xml:space="preserve"> </w:t>
      </w:r>
    </w:p>
    <w:p w:rsidR="00AF3C29" w:rsidRPr="00AF3C29" w:rsidRDefault="00AF3C29" w:rsidP="004F40A9">
      <w:pPr>
        <w:ind w:firstLine="567"/>
        <w:jc w:val="both"/>
        <w:rPr>
          <w:szCs w:val="24"/>
        </w:rPr>
      </w:pPr>
      <w:r w:rsidRPr="00AF3C29">
        <w:rPr>
          <w:szCs w:val="24"/>
        </w:rPr>
        <w:t xml:space="preserve">Відповідно </w:t>
      </w:r>
      <w:r w:rsidR="004C3B7A">
        <w:rPr>
          <w:szCs w:val="24"/>
        </w:rPr>
        <w:t>структури</w:t>
      </w:r>
      <w:r>
        <w:rPr>
          <w:szCs w:val="24"/>
        </w:rPr>
        <w:t xml:space="preserve"> тарифу</w:t>
      </w:r>
      <w:r w:rsidR="0095513D">
        <w:rPr>
          <w:szCs w:val="24"/>
        </w:rPr>
        <w:t>,</w:t>
      </w:r>
      <w:r>
        <w:rPr>
          <w:szCs w:val="24"/>
        </w:rPr>
        <w:t xml:space="preserve"> ремонтна програма за рахунок амортизації </w:t>
      </w:r>
      <w:r w:rsidR="004F40A9">
        <w:rPr>
          <w:szCs w:val="24"/>
        </w:rPr>
        <w:t xml:space="preserve">затверджена </w:t>
      </w:r>
      <w:r>
        <w:rPr>
          <w:szCs w:val="24"/>
        </w:rPr>
        <w:t xml:space="preserve">на </w:t>
      </w:r>
      <w:r w:rsidR="0078234C">
        <w:rPr>
          <w:szCs w:val="24"/>
        </w:rPr>
        <w:t>суму 72 683,37 тис грн. без ПДВ</w:t>
      </w:r>
      <w:r w:rsidR="004F40A9">
        <w:rPr>
          <w:szCs w:val="24"/>
        </w:rPr>
        <w:t xml:space="preserve"> </w:t>
      </w:r>
      <w:r w:rsidR="0078234C">
        <w:rPr>
          <w:szCs w:val="24"/>
        </w:rPr>
        <w:t>та передбачає</w:t>
      </w:r>
      <w:r w:rsidR="004F40A9">
        <w:rPr>
          <w:szCs w:val="24"/>
        </w:rPr>
        <w:t xml:space="preserve"> захід "</w:t>
      </w:r>
      <w:r w:rsidR="004F40A9" w:rsidRPr="004F40A9">
        <w:rPr>
          <w:szCs w:val="24"/>
        </w:rPr>
        <w:t>Ремонт турбогенератора ПТ-50/60-130/7 ст.№1</w:t>
      </w:r>
      <w:r w:rsidR="004F40A9">
        <w:rPr>
          <w:szCs w:val="24"/>
        </w:rPr>
        <w:t xml:space="preserve">" загальною вартістю </w:t>
      </w:r>
      <w:r w:rsidR="004F40A9" w:rsidRPr="004F40A9">
        <w:rPr>
          <w:szCs w:val="24"/>
        </w:rPr>
        <w:t>3 802</w:t>
      </w:r>
      <w:r w:rsidR="0078234C">
        <w:rPr>
          <w:szCs w:val="24"/>
        </w:rPr>
        <w:t>,</w:t>
      </w:r>
      <w:r w:rsidR="004F40A9" w:rsidRPr="004F40A9">
        <w:rPr>
          <w:szCs w:val="24"/>
        </w:rPr>
        <w:t>0</w:t>
      </w:r>
      <w:r w:rsidR="0078234C">
        <w:rPr>
          <w:szCs w:val="24"/>
        </w:rPr>
        <w:t>0</w:t>
      </w:r>
      <w:r w:rsidR="004F40A9">
        <w:rPr>
          <w:szCs w:val="24"/>
        </w:rPr>
        <w:t xml:space="preserve"> тис грн. без ПДВ.</w:t>
      </w:r>
    </w:p>
    <w:p w:rsidR="0078234C" w:rsidRDefault="004F40A9" w:rsidP="00AF3C29">
      <w:pPr>
        <w:ind w:firstLine="567"/>
        <w:jc w:val="both"/>
        <w:rPr>
          <w:szCs w:val="24"/>
        </w:rPr>
      </w:pPr>
      <w:r>
        <w:rPr>
          <w:szCs w:val="24"/>
        </w:rPr>
        <w:t>В ході виконання</w:t>
      </w:r>
      <w:r w:rsidR="00AF3C29">
        <w:rPr>
          <w:szCs w:val="24"/>
        </w:rPr>
        <w:t xml:space="preserve"> ремонт</w:t>
      </w:r>
      <w:r>
        <w:rPr>
          <w:szCs w:val="24"/>
        </w:rPr>
        <w:t xml:space="preserve">них робіт </w:t>
      </w:r>
      <w:r w:rsidR="00AF3C29" w:rsidRPr="0077070D">
        <w:rPr>
          <w:szCs w:val="24"/>
        </w:rPr>
        <w:t>турбогенератора ПТ</w:t>
      </w:r>
      <w:r w:rsidR="006207B1">
        <w:rPr>
          <w:szCs w:val="24"/>
        </w:rPr>
        <w:t xml:space="preserve"> </w:t>
      </w:r>
      <w:r w:rsidR="00AF3C29" w:rsidRPr="0077070D">
        <w:rPr>
          <w:szCs w:val="24"/>
        </w:rPr>
        <w:t>50/60-130/7 ст.№1</w:t>
      </w:r>
      <w:r w:rsidR="0078234C">
        <w:rPr>
          <w:szCs w:val="24"/>
        </w:rPr>
        <w:t>,</w:t>
      </w:r>
      <w:r w:rsidR="00AF3C29">
        <w:rPr>
          <w:szCs w:val="24"/>
        </w:rPr>
        <w:t xml:space="preserve"> </w:t>
      </w:r>
      <w:r w:rsidR="003B54A1">
        <w:rPr>
          <w:szCs w:val="24"/>
        </w:rPr>
        <w:t xml:space="preserve">що були розпочаті згідно графіку ремонтів основного обладнання </w:t>
      </w:r>
      <w:r w:rsidR="00AF3C29">
        <w:rPr>
          <w:szCs w:val="24"/>
        </w:rPr>
        <w:t>з</w:t>
      </w:r>
      <w:r>
        <w:rPr>
          <w:szCs w:val="24"/>
        </w:rPr>
        <w:t xml:space="preserve"> </w:t>
      </w:r>
      <w:r w:rsidR="00AF3C29">
        <w:rPr>
          <w:szCs w:val="24"/>
        </w:rPr>
        <w:t>15</w:t>
      </w:r>
      <w:r w:rsidR="00C8667C">
        <w:rPr>
          <w:szCs w:val="24"/>
        </w:rPr>
        <w:t>.04.2019 року</w:t>
      </w:r>
      <w:r w:rsidR="003B54A1">
        <w:rPr>
          <w:szCs w:val="24"/>
        </w:rPr>
        <w:t>,</w:t>
      </w:r>
      <w:r w:rsidR="00C8667C">
        <w:rPr>
          <w:szCs w:val="24"/>
        </w:rPr>
        <w:t xml:space="preserve"> був виявлений непередбачений дефект на 21 ст. ротора турбіни</w:t>
      </w:r>
      <w:r w:rsidR="0078234C">
        <w:rPr>
          <w:szCs w:val="24"/>
        </w:rPr>
        <w:t>.</w:t>
      </w:r>
      <w:r w:rsidR="0078234C" w:rsidRPr="0078234C">
        <w:rPr>
          <w:szCs w:val="24"/>
        </w:rPr>
        <w:t xml:space="preserve"> </w:t>
      </w:r>
      <w:r w:rsidR="0078234C">
        <w:rPr>
          <w:szCs w:val="24"/>
        </w:rPr>
        <w:t>Крім цього виявлені додаткові дефекти на генераторі турбіни та корпусі циліндру низького тиску.</w:t>
      </w:r>
      <w:r w:rsidR="0078234C" w:rsidRPr="0078234C">
        <w:rPr>
          <w:szCs w:val="24"/>
        </w:rPr>
        <w:t xml:space="preserve"> </w:t>
      </w:r>
    </w:p>
    <w:p w:rsidR="00AF3C29" w:rsidRPr="0077070D" w:rsidRDefault="0078234C" w:rsidP="006207B1">
      <w:pPr>
        <w:ind w:firstLine="567"/>
        <w:jc w:val="both"/>
        <w:rPr>
          <w:szCs w:val="24"/>
        </w:rPr>
      </w:pPr>
      <w:r>
        <w:rPr>
          <w:szCs w:val="24"/>
        </w:rPr>
        <w:t>Згідно рекомендації ТОВ "</w:t>
      </w:r>
      <w:proofErr w:type="spellStart"/>
      <w:r>
        <w:rPr>
          <w:szCs w:val="24"/>
        </w:rPr>
        <w:t>Котлотурбопром</w:t>
      </w:r>
      <w:proofErr w:type="spellEnd"/>
      <w:r>
        <w:rPr>
          <w:szCs w:val="24"/>
        </w:rPr>
        <w:t>" філія "ХЦКБ ЕНЕ</w:t>
      </w:r>
      <w:r w:rsidR="006207B1">
        <w:rPr>
          <w:szCs w:val="24"/>
        </w:rPr>
        <w:t>РГОПРОГРЕС" для подальшої експлуатації</w:t>
      </w:r>
      <w:r>
        <w:rPr>
          <w:szCs w:val="24"/>
        </w:rPr>
        <w:t xml:space="preserve"> турбіни в ОЗП 2019-2020</w:t>
      </w:r>
      <w:r w:rsidR="006207B1">
        <w:rPr>
          <w:szCs w:val="24"/>
        </w:rPr>
        <w:t xml:space="preserve">, необхідно виконати додатковий обсяг робіт з </w:t>
      </w:r>
      <w:r w:rsidR="001F5A54">
        <w:rPr>
          <w:szCs w:val="24"/>
        </w:rPr>
        <w:t>демонтажу</w:t>
      </w:r>
      <w:r>
        <w:rPr>
          <w:szCs w:val="24"/>
        </w:rPr>
        <w:t xml:space="preserve"> 21 ст.</w:t>
      </w:r>
      <w:r w:rsidR="006207B1">
        <w:rPr>
          <w:szCs w:val="24"/>
        </w:rPr>
        <w:t xml:space="preserve"> та усунення інших виявлених дефектів.</w:t>
      </w:r>
      <w:r>
        <w:rPr>
          <w:szCs w:val="24"/>
        </w:rPr>
        <w:t xml:space="preserve"> </w:t>
      </w:r>
    </w:p>
    <w:p w:rsidR="00CC7A88" w:rsidRDefault="001F5A54" w:rsidP="00AF3C29">
      <w:pPr>
        <w:ind w:firstLine="567"/>
        <w:jc w:val="both"/>
        <w:rPr>
          <w:szCs w:val="24"/>
        </w:rPr>
      </w:pPr>
      <w:r>
        <w:rPr>
          <w:szCs w:val="24"/>
        </w:rPr>
        <w:t>Нев</w:t>
      </w:r>
      <w:r w:rsidR="008564BE">
        <w:rPr>
          <w:szCs w:val="24"/>
        </w:rPr>
        <w:t>иконання вищевказаних додаткових</w:t>
      </w:r>
      <w:r>
        <w:rPr>
          <w:szCs w:val="24"/>
        </w:rPr>
        <w:t xml:space="preserve"> роб</w:t>
      </w:r>
      <w:r w:rsidR="008564BE">
        <w:rPr>
          <w:szCs w:val="24"/>
        </w:rPr>
        <w:t>і</w:t>
      </w:r>
      <w:r>
        <w:rPr>
          <w:szCs w:val="24"/>
        </w:rPr>
        <w:t>т</w:t>
      </w:r>
      <w:r w:rsidR="00C8667C">
        <w:rPr>
          <w:szCs w:val="24"/>
        </w:rPr>
        <w:t xml:space="preserve"> може</w:t>
      </w:r>
      <w:r w:rsidR="00AF3C29" w:rsidRPr="0077070D">
        <w:rPr>
          <w:szCs w:val="24"/>
        </w:rPr>
        <w:t xml:space="preserve"> призвести до аварійних зупинок </w:t>
      </w:r>
      <w:r w:rsidR="00AF3C29">
        <w:rPr>
          <w:szCs w:val="24"/>
        </w:rPr>
        <w:t>під час проходження опалювального</w:t>
      </w:r>
      <w:r w:rsidR="00AF3C29" w:rsidRPr="0077070D">
        <w:rPr>
          <w:szCs w:val="24"/>
        </w:rPr>
        <w:t xml:space="preserve"> періоду 201</w:t>
      </w:r>
      <w:r w:rsidR="00AF3C29">
        <w:rPr>
          <w:szCs w:val="24"/>
        </w:rPr>
        <w:t>9-2020</w:t>
      </w:r>
      <w:r w:rsidR="00AF3C29" w:rsidRPr="0077070D">
        <w:rPr>
          <w:szCs w:val="24"/>
        </w:rPr>
        <w:t xml:space="preserve"> рр., що, в свою чергу, призведе </w:t>
      </w:r>
      <w:r w:rsidR="004814D6">
        <w:rPr>
          <w:szCs w:val="24"/>
        </w:rPr>
        <w:t>до ускладнення теплопостачання у м. Чернігів</w:t>
      </w:r>
      <w:r w:rsidR="00AF3C29" w:rsidRPr="0077070D">
        <w:rPr>
          <w:szCs w:val="24"/>
        </w:rPr>
        <w:t xml:space="preserve"> та зриву програми </w:t>
      </w:r>
      <w:r w:rsidR="00CC7A88">
        <w:rPr>
          <w:szCs w:val="24"/>
        </w:rPr>
        <w:t>з виробництва електричної енергії</w:t>
      </w:r>
      <w:r w:rsidR="00AF3C29" w:rsidRPr="0077070D">
        <w:rPr>
          <w:szCs w:val="24"/>
        </w:rPr>
        <w:t xml:space="preserve">. </w:t>
      </w:r>
    </w:p>
    <w:p w:rsidR="00AF3C29" w:rsidRDefault="00931880" w:rsidP="00AF3C29">
      <w:pPr>
        <w:ind w:firstLine="567"/>
        <w:jc w:val="both"/>
        <w:rPr>
          <w:szCs w:val="24"/>
        </w:rPr>
      </w:pPr>
      <w:r>
        <w:rPr>
          <w:szCs w:val="24"/>
        </w:rPr>
        <w:t>В</w:t>
      </w:r>
      <w:r w:rsidR="00AF3C29" w:rsidRPr="0077070D">
        <w:rPr>
          <w:szCs w:val="24"/>
        </w:rPr>
        <w:t>артість додаткових робіт</w:t>
      </w:r>
      <w:r>
        <w:rPr>
          <w:szCs w:val="24"/>
        </w:rPr>
        <w:t xml:space="preserve"> </w:t>
      </w:r>
      <w:r w:rsidR="006207B1">
        <w:rPr>
          <w:szCs w:val="24"/>
        </w:rPr>
        <w:t>по ремонту турбогенератору ПТ 50/60-130/7 ст.№1</w:t>
      </w:r>
      <w:r>
        <w:rPr>
          <w:szCs w:val="24"/>
        </w:rPr>
        <w:t xml:space="preserve"> </w:t>
      </w:r>
      <w:r w:rsidRPr="0077070D">
        <w:rPr>
          <w:szCs w:val="24"/>
        </w:rPr>
        <w:t xml:space="preserve">за розцінками </w:t>
      </w:r>
      <w:r>
        <w:rPr>
          <w:szCs w:val="24"/>
        </w:rPr>
        <w:t>2019</w:t>
      </w:r>
      <w:r w:rsidRPr="0077070D">
        <w:rPr>
          <w:szCs w:val="24"/>
        </w:rPr>
        <w:t xml:space="preserve"> року, </w:t>
      </w:r>
      <w:r w:rsidR="00AF3C29" w:rsidRPr="0077070D">
        <w:rPr>
          <w:szCs w:val="24"/>
        </w:rPr>
        <w:t xml:space="preserve"> </w:t>
      </w:r>
      <w:r w:rsidR="00AF3C29">
        <w:rPr>
          <w:szCs w:val="24"/>
        </w:rPr>
        <w:t>становить</w:t>
      </w:r>
      <w:r w:rsidR="00AF3C29" w:rsidRPr="0077070D">
        <w:rPr>
          <w:szCs w:val="24"/>
        </w:rPr>
        <w:t xml:space="preserve"> </w:t>
      </w:r>
      <w:r w:rsidR="00AF3C29" w:rsidRPr="006207B1">
        <w:rPr>
          <w:b/>
          <w:szCs w:val="24"/>
        </w:rPr>
        <w:t>1 394,6 тис грн. без ПДВ.</w:t>
      </w:r>
    </w:p>
    <w:p w:rsidR="000630D3" w:rsidRDefault="000630D3" w:rsidP="00AF3C29">
      <w:pPr>
        <w:ind w:firstLine="567"/>
        <w:jc w:val="both"/>
        <w:rPr>
          <w:szCs w:val="24"/>
        </w:rPr>
      </w:pPr>
      <w:r>
        <w:rPr>
          <w:szCs w:val="24"/>
        </w:rPr>
        <w:t>Відповідно до постанови НКРЕКП №991 від 01.08.2017 р. розділ 4 п. 4.1</w:t>
      </w:r>
      <w:r w:rsidR="0072306B">
        <w:rPr>
          <w:szCs w:val="24"/>
        </w:rPr>
        <w:t xml:space="preserve"> "</w:t>
      </w:r>
      <w:r w:rsidR="0072306B" w:rsidRPr="0072306B">
        <w:rPr>
          <w:i/>
          <w:szCs w:val="24"/>
        </w:rPr>
        <w:t>…У разі необхідності виконання ремонтних робіт, що не були передбачені встановленою структурою тарифу на відпуск електричної енергії та (або) виробництва теплової енергії, ліцензіат повинен звернутись до НКРЕКП щодо зміни переліку заходів та витрат на їх реалізацію…"</w:t>
      </w:r>
      <w:r>
        <w:rPr>
          <w:szCs w:val="24"/>
        </w:rPr>
        <w:t xml:space="preserve"> та  постанови НКРЕКП № </w:t>
      </w:r>
      <w:r>
        <w:rPr>
          <w:rStyle w:val="rvts9"/>
        </w:rPr>
        <w:t>2585 від 15.10.2015 р.</w:t>
      </w:r>
      <w:r w:rsidR="00960F21">
        <w:rPr>
          <w:rStyle w:val="rvts9"/>
        </w:rPr>
        <w:t xml:space="preserve"> п.3.9</w:t>
      </w:r>
      <w:r w:rsidR="0072306B">
        <w:rPr>
          <w:rStyle w:val="rvts9"/>
        </w:rPr>
        <w:t xml:space="preserve"> "…</w:t>
      </w:r>
      <w:r w:rsidR="00977BE9" w:rsidRPr="00977BE9">
        <w:rPr>
          <w:rStyle w:val="rvts9"/>
          <w:i/>
        </w:rPr>
        <w:t>При виникненні потреби у здійсненні закупівлі у зв’язку з особливими економічними та іншими обставинами, яких ліцензіат не міг передбачити, у тому числі закупівлі, пов’язаної з ліквідацією наслідків надзвичайних ситуацій, виконанням аварійно-відновлювальних робіт, ліцензіат має право протягом прогнозного періоду, як правило, протягом місяця за підсумками першого, другого або третього кварталу звернутися до НКРЕКП з пропозицією щодо внесення змін до схваленої інвестиційної програми з наданням відповідного обґрунтування</w:t>
      </w:r>
      <w:r w:rsidR="00977BE9">
        <w:rPr>
          <w:rStyle w:val="rvts9"/>
          <w:i/>
        </w:rPr>
        <w:t>…</w:t>
      </w:r>
      <w:r w:rsidR="00977BE9" w:rsidRPr="00977BE9">
        <w:rPr>
          <w:rStyle w:val="rvts9"/>
          <w:i/>
        </w:rPr>
        <w:t>.</w:t>
      </w:r>
      <w:r w:rsidR="0072306B">
        <w:rPr>
          <w:rStyle w:val="rvts9"/>
        </w:rPr>
        <w:t>"</w:t>
      </w:r>
      <w:r>
        <w:rPr>
          <w:rStyle w:val="rvts9"/>
        </w:rPr>
        <w:t xml:space="preserve"> та</w:t>
      </w:r>
      <w:r>
        <w:rPr>
          <w:szCs w:val="24"/>
        </w:rPr>
        <w:t xml:space="preserve"> в</w:t>
      </w:r>
      <w:r w:rsidR="00AF3C29" w:rsidRPr="0077070D">
        <w:rPr>
          <w:szCs w:val="24"/>
        </w:rPr>
        <w:t xml:space="preserve">раховуючи </w:t>
      </w:r>
      <w:r w:rsidR="00960F21">
        <w:rPr>
          <w:szCs w:val="24"/>
        </w:rPr>
        <w:t>вище</w:t>
      </w:r>
      <w:r w:rsidR="00AF3C29" w:rsidRPr="001D4658">
        <w:rPr>
          <w:szCs w:val="24"/>
        </w:rPr>
        <w:t>вказане</w:t>
      </w:r>
      <w:r w:rsidR="006207B1">
        <w:rPr>
          <w:szCs w:val="24"/>
        </w:rPr>
        <w:t xml:space="preserve">, </w:t>
      </w:r>
      <w:r w:rsidR="00AF3C29" w:rsidRPr="0077070D">
        <w:rPr>
          <w:szCs w:val="24"/>
        </w:rPr>
        <w:t xml:space="preserve">ТОВ ФІРМА «ТЕХНОВА» КЕП «Чернігівська ТЕЦ» </w:t>
      </w:r>
      <w:r w:rsidR="00AF3C29">
        <w:rPr>
          <w:szCs w:val="24"/>
        </w:rPr>
        <w:t>пропонує</w:t>
      </w:r>
      <w:r w:rsidR="00AF3C29" w:rsidRPr="0077070D">
        <w:rPr>
          <w:szCs w:val="24"/>
        </w:rPr>
        <w:t xml:space="preserve"> збільшити витра</w:t>
      </w:r>
      <w:r w:rsidR="006207B1">
        <w:rPr>
          <w:szCs w:val="24"/>
        </w:rPr>
        <w:t xml:space="preserve">ти на ремонт турбогенератора ПТ </w:t>
      </w:r>
      <w:r w:rsidR="00AF3C29" w:rsidRPr="0077070D">
        <w:rPr>
          <w:szCs w:val="24"/>
        </w:rPr>
        <w:t>50/60-130/7 ст.</w:t>
      </w:r>
      <w:r w:rsidR="00AF3C29">
        <w:rPr>
          <w:szCs w:val="24"/>
        </w:rPr>
        <w:t xml:space="preserve"> </w:t>
      </w:r>
      <w:r w:rsidR="00AF3C29" w:rsidRPr="0077070D">
        <w:rPr>
          <w:szCs w:val="24"/>
        </w:rPr>
        <w:t>№1</w:t>
      </w:r>
      <w:r w:rsidR="00AF3C29">
        <w:rPr>
          <w:szCs w:val="24"/>
        </w:rPr>
        <w:t xml:space="preserve"> по роботам на суму </w:t>
      </w:r>
      <w:r w:rsidR="00AF3C29" w:rsidRPr="006207B1">
        <w:rPr>
          <w:b/>
          <w:szCs w:val="24"/>
        </w:rPr>
        <w:t>1 394,6 тис грн. без ПДВ.</w:t>
      </w:r>
    </w:p>
    <w:p w:rsidR="0072306B" w:rsidRDefault="0072306B" w:rsidP="0072306B">
      <w:pPr>
        <w:ind w:firstLine="567"/>
        <w:jc w:val="both"/>
        <w:rPr>
          <w:szCs w:val="24"/>
        </w:rPr>
      </w:pPr>
      <w:r w:rsidRPr="00C33200">
        <w:rPr>
          <w:szCs w:val="24"/>
        </w:rPr>
        <w:t xml:space="preserve">Збільшення </w:t>
      </w:r>
      <w:r w:rsidR="00977BE9">
        <w:rPr>
          <w:szCs w:val="24"/>
        </w:rPr>
        <w:t>фінансування заходу</w:t>
      </w:r>
      <w:r>
        <w:rPr>
          <w:szCs w:val="24"/>
        </w:rPr>
        <w:t xml:space="preserve"> </w:t>
      </w:r>
      <w:r w:rsidRPr="001D4658">
        <w:rPr>
          <w:szCs w:val="24"/>
        </w:rPr>
        <w:t>«</w:t>
      </w:r>
      <w:r w:rsidRPr="00DD11B0">
        <w:rPr>
          <w:szCs w:val="24"/>
        </w:rPr>
        <w:t>Ремонт турбогенератора ПТ-50/60-130/7 ст.</w:t>
      </w:r>
      <w:r>
        <w:rPr>
          <w:szCs w:val="24"/>
        </w:rPr>
        <w:t xml:space="preserve"> </w:t>
      </w:r>
      <w:r w:rsidRPr="00DD11B0">
        <w:rPr>
          <w:szCs w:val="24"/>
        </w:rPr>
        <w:t>№1</w:t>
      </w:r>
      <w:r>
        <w:rPr>
          <w:szCs w:val="24"/>
        </w:rPr>
        <w:t>»,</w:t>
      </w:r>
      <w:r w:rsidR="00977BE9">
        <w:rPr>
          <w:szCs w:val="24"/>
        </w:rPr>
        <w:t xml:space="preserve"> пропонуємо</w:t>
      </w:r>
      <w:r>
        <w:rPr>
          <w:szCs w:val="24"/>
        </w:rPr>
        <w:t xml:space="preserve"> </w:t>
      </w:r>
      <w:r w:rsidRPr="00977BE9">
        <w:rPr>
          <w:szCs w:val="24"/>
        </w:rPr>
        <w:t xml:space="preserve">виконати за рахунок перерозподілу грошових коштів </w:t>
      </w:r>
      <w:r w:rsidR="00977BE9" w:rsidRPr="00977BE9">
        <w:rPr>
          <w:szCs w:val="24"/>
        </w:rPr>
        <w:t>з інших заходів</w:t>
      </w:r>
      <w:r w:rsidRPr="00977BE9">
        <w:rPr>
          <w:szCs w:val="24"/>
        </w:rPr>
        <w:t xml:space="preserve"> </w:t>
      </w:r>
      <w:r w:rsidR="006207B1">
        <w:rPr>
          <w:szCs w:val="24"/>
        </w:rPr>
        <w:t>р</w:t>
      </w:r>
      <w:r w:rsidRPr="00977BE9">
        <w:rPr>
          <w:szCs w:val="24"/>
        </w:rPr>
        <w:t>емонтної програми 20</w:t>
      </w:r>
      <w:r w:rsidR="0095513D">
        <w:rPr>
          <w:szCs w:val="24"/>
        </w:rPr>
        <w:t>19 року</w:t>
      </w:r>
      <w:r w:rsidRPr="00977BE9">
        <w:rPr>
          <w:szCs w:val="24"/>
        </w:rPr>
        <w:t xml:space="preserve"> </w:t>
      </w:r>
      <w:r w:rsidRPr="0095513D">
        <w:rPr>
          <w:b/>
          <w:szCs w:val="24"/>
        </w:rPr>
        <w:t xml:space="preserve">без зміни </w:t>
      </w:r>
      <w:r w:rsidR="0095513D" w:rsidRPr="0095513D">
        <w:rPr>
          <w:b/>
          <w:szCs w:val="24"/>
        </w:rPr>
        <w:t xml:space="preserve">джерела фінансування, структури затвердженого тарифу та </w:t>
      </w:r>
      <w:r w:rsidRPr="0095513D">
        <w:rPr>
          <w:b/>
          <w:szCs w:val="24"/>
        </w:rPr>
        <w:t xml:space="preserve">загальної </w:t>
      </w:r>
      <w:r w:rsidR="0095513D" w:rsidRPr="0095513D">
        <w:rPr>
          <w:b/>
          <w:szCs w:val="24"/>
        </w:rPr>
        <w:t xml:space="preserve">вартості </w:t>
      </w:r>
      <w:r w:rsidR="006207B1">
        <w:rPr>
          <w:b/>
          <w:szCs w:val="24"/>
        </w:rPr>
        <w:t>р</w:t>
      </w:r>
      <w:r w:rsidR="0095513D" w:rsidRPr="0095513D">
        <w:rPr>
          <w:b/>
          <w:szCs w:val="24"/>
        </w:rPr>
        <w:t>емонтної програми</w:t>
      </w:r>
      <w:r w:rsidR="0095513D">
        <w:rPr>
          <w:szCs w:val="24"/>
        </w:rPr>
        <w:t xml:space="preserve"> (</w:t>
      </w:r>
      <w:r w:rsidR="0095513D" w:rsidRPr="0095513D">
        <w:rPr>
          <w:i/>
          <w:szCs w:val="24"/>
        </w:rPr>
        <w:t>таблиця</w:t>
      </w:r>
      <w:r w:rsidRPr="0095513D">
        <w:rPr>
          <w:i/>
          <w:szCs w:val="24"/>
        </w:rPr>
        <w:t xml:space="preserve"> №1</w:t>
      </w:r>
      <w:r w:rsidR="0095513D">
        <w:rPr>
          <w:szCs w:val="24"/>
        </w:rPr>
        <w:t>)</w:t>
      </w:r>
      <w:r>
        <w:rPr>
          <w:szCs w:val="24"/>
        </w:rPr>
        <w:t>.</w:t>
      </w:r>
    </w:p>
    <w:p w:rsidR="00782610" w:rsidRDefault="00782610" w:rsidP="00AF3C29">
      <w:pPr>
        <w:ind w:firstLine="567"/>
        <w:jc w:val="both"/>
        <w:rPr>
          <w:szCs w:val="24"/>
        </w:rPr>
      </w:pPr>
      <w:r w:rsidRPr="0047181F">
        <w:rPr>
          <w:i/>
          <w:sz w:val="22"/>
          <w:szCs w:val="22"/>
        </w:rPr>
        <w:t xml:space="preserve">Табл. №1. Заходи що підлягають коригуванню з виконання ремонтних робіт та перерозподілу коштів  для фінансування ремонтної програми ТОВ ФІРМИ «ТЕХНОВА» КЕП «Чернігівська ТЕЦ» у 2019 </w:t>
      </w:r>
      <w:r w:rsidRPr="0047181F">
        <w:rPr>
          <w:i/>
          <w:sz w:val="22"/>
          <w:szCs w:val="24"/>
        </w:rPr>
        <w:t>р.</w:t>
      </w:r>
    </w:p>
    <w:p w:rsidR="00674D9B" w:rsidRPr="00674D9B" w:rsidRDefault="00674D9B" w:rsidP="00674D9B">
      <w:pPr>
        <w:ind w:firstLine="426"/>
        <w:jc w:val="right"/>
        <w:rPr>
          <w:b/>
          <w:i/>
          <w:sz w:val="18"/>
          <w:szCs w:val="24"/>
        </w:rPr>
      </w:pPr>
      <w:r w:rsidRPr="00674D9B">
        <w:rPr>
          <w:b/>
          <w:i/>
          <w:sz w:val="18"/>
          <w:szCs w:val="24"/>
        </w:rPr>
        <w:t>тис. грн. без ПДВ</w:t>
      </w:r>
    </w:p>
    <w:tbl>
      <w:tblPr>
        <w:tblStyle w:val="a5"/>
        <w:tblW w:w="0" w:type="auto"/>
        <w:tblLayout w:type="fixed"/>
        <w:tblCellMar>
          <w:left w:w="28" w:type="dxa"/>
          <w:right w:w="28" w:type="dxa"/>
        </w:tblCellMar>
        <w:tblLook w:val="04A0" w:firstRow="1" w:lastRow="0" w:firstColumn="1" w:lastColumn="0" w:noHBand="0" w:noVBand="1"/>
      </w:tblPr>
      <w:tblGrid>
        <w:gridCol w:w="274"/>
        <w:gridCol w:w="2448"/>
        <w:gridCol w:w="850"/>
        <w:gridCol w:w="851"/>
        <w:gridCol w:w="708"/>
        <w:gridCol w:w="851"/>
        <w:gridCol w:w="850"/>
        <w:gridCol w:w="709"/>
        <w:gridCol w:w="851"/>
        <w:gridCol w:w="937"/>
        <w:gridCol w:w="790"/>
      </w:tblGrid>
      <w:tr w:rsidR="00825D18" w:rsidTr="00C33200">
        <w:tc>
          <w:tcPr>
            <w:tcW w:w="274" w:type="dxa"/>
            <w:vMerge w:val="restart"/>
            <w:vAlign w:val="center"/>
          </w:tcPr>
          <w:p w:rsidR="00825D18" w:rsidRPr="00C33200" w:rsidRDefault="00825D18" w:rsidP="00825D18">
            <w:pPr>
              <w:jc w:val="center"/>
              <w:rPr>
                <w:sz w:val="16"/>
                <w:szCs w:val="24"/>
              </w:rPr>
            </w:pPr>
            <w:r w:rsidRPr="00C33200">
              <w:rPr>
                <w:sz w:val="16"/>
                <w:szCs w:val="24"/>
              </w:rPr>
              <w:t>№ з/п</w:t>
            </w:r>
          </w:p>
        </w:tc>
        <w:tc>
          <w:tcPr>
            <w:tcW w:w="2448" w:type="dxa"/>
            <w:vMerge w:val="restart"/>
            <w:vAlign w:val="center"/>
          </w:tcPr>
          <w:p w:rsidR="00825D18" w:rsidRPr="00C33200" w:rsidRDefault="00825D18" w:rsidP="00825D18">
            <w:pPr>
              <w:jc w:val="center"/>
              <w:rPr>
                <w:sz w:val="16"/>
                <w:szCs w:val="24"/>
              </w:rPr>
            </w:pPr>
            <w:r w:rsidRPr="00C33200">
              <w:rPr>
                <w:sz w:val="16"/>
                <w:szCs w:val="24"/>
              </w:rPr>
              <w:t>Назва заходу</w:t>
            </w:r>
          </w:p>
        </w:tc>
        <w:tc>
          <w:tcPr>
            <w:tcW w:w="2409" w:type="dxa"/>
            <w:gridSpan w:val="3"/>
            <w:vAlign w:val="center"/>
          </w:tcPr>
          <w:p w:rsidR="00825D18" w:rsidRDefault="00825D18" w:rsidP="00825D18">
            <w:pPr>
              <w:jc w:val="center"/>
              <w:rPr>
                <w:sz w:val="16"/>
                <w:szCs w:val="24"/>
              </w:rPr>
            </w:pPr>
            <w:r w:rsidRPr="00C33200">
              <w:rPr>
                <w:sz w:val="16"/>
                <w:szCs w:val="24"/>
              </w:rPr>
              <w:t>Обсяг фінансування, передбачений на плановий період</w:t>
            </w:r>
          </w:p>
          <w:p w:rsidR="006207B1" w:rsidRPr="00C33200" w:rsidRDefault="006207B1" w:rsidP="00825D18">
            <w:pPr>
              <w:jc w:val="center"/>
              <w:rPr>
                <w:sz w:val="16"/>
                <w:szCs w:val="24"/>
              </w:rPr>
            </w:pPr>
            <w:r>
              <w:rPr>
                <w:sz w:val="16"/>
                <w:szCs w:val="24"/>
              </w:rPr>
              <w:t>(затверджений тариф)</w:t>
            </w:r>
          </w:p>
        </w:tc>
        <w:tc>
          <w:tcPr>
            <w:tcW w:w="2410" w:type="dxa"/>
            <w:gridSpan w:val="3"/>
            <w:vAlign w:val="center"/>
          </w:tcPr>
          <w:p w:rsidR="00825D18" w:rsidRPr="00C33200" w:rsidRDefault="00825D18" w:rsidP="00825D18">
            <w:pPr>
              <w:jc w:val="center"/>
              <w:rPr>
                <w:sz w:val="16"/>
                <w:szCs w:val="24"/>
              </w:rPr>
            </w:pPr>
            <w:r w:rsidRPr="00C33200">
              <w:rPr>
                <w:sz w:val="16"/>
                <w:szCs w:val="24"/>
              </w:rPr>
              <w:t>Обсяг фінансування, передбачений на плановий період</w:t>
            </w:r>
          </w:p>
          <w:p w:rsidR="00825D18" w:rsidRPr="00C33200" w:rsidRDefault="00825D18" w:rsidP="006207B1">
            <w:pPr>
              <w:jc w:val="center"/>
              <w:rPr>
                <w:sz w:val="16"/>
                <w:szCs w:val="24"/>
              </w:rPr>
            </w:pPr>
            <w:r w:rsidRPr="00C33200">
              <w:rPr>
                <w:sz w:val="16"/>
                <w:szCs w:val="24"/>
              </w:rPr>
              <w:t>(пропозиція ліцензіата)</w:t>
            </w:r>
          </w:p>
        </w:tc>
        <w:tc>
          <w:tcPr>
            <w:tcW w:w="2578" w:type="dxa"/>
            <w:gridSpan w:val="3"/>
            <w:vAlign w:val="center"/>
          </w:tcPr>
          <w:p w:rsidR="00825D18" w:rsidRPr="00C33200" w:rsidRDefault="00825D18" w:rsidP="00825D18">
            <w:pPr>
              <w:jc w:val="center"/>
              <w:rPr>
                <w:sz w:val="16"/>
                <w:szCs w:val="24"/>
              </w:rPr>
            </w:pPr>
            <w:r w:rsidRPr="00C33200">
              <w:rPr>
                <w:sz w:val="16"/>
                <w:szCs w:val="24"/>
              </w:rPr>
              <w:t>Відхилення</w:t>
            </w:r>
          </w:p>
        </w:tc>
      </w:tr>
      <w:tr w:rsidR="00825D18" w:rsidTr="00C33200">
        <w:tc>
          <w:tcPr>
            <w:tcW w:w="274" w:type="dxa"/>
            <w:vMerge/>
            <w:vAlign w:val="center"/>
          </w:tcPr>
          <w:p w:rsidR="00825D18" w:rsidRPr="00C33200" w:rsidRDefault="00825D18" w:rsidP="00825D18">
            <w:pPr>
              <w:jc w:val="center"/>
              <w:rPr>
                <w:sz w:val="16"/>
                <w:szCs w:val="24"/>
              </w:rPr>
            </w:pPr>
          </w:p>
        </w:tc>
        <w:tc>
          <w:tcPr>
            <w:tcW w:w="2448" w:type="dxa"/>
            <w:vMerge/>
            <w:vAlign w:val="center"/>
          </w:tcPr>
          <w:p w:rsidR="00825D18" w:rsidRPr="00C33200" w:rsidRDefault="00825D18" w:rsidP="00825D18">
            <w:pPr>
              <w:jc w:val="center"/>
              <w:rPr>
                <w:sz w:val="16"/>
                <w:szCs w:val="24"/>
              </w:rPr>
            </w:pPr>
          </w:p>
        </w:tc>
        <w:tc>
          <w:tcPr>
            <w:tcW w:w="850" w:type="dxa"/>
            <w:vAlign w:val="center"/>
          </w:tcPr>
          <w:p w:rsidR="00825D18" w:rsidRPr="00C33200" w:rsidRDefault="00825D18" w:rsidP="00825D18">
            <w:pPr>
              <w:jc w:val="center"/>
              <w:rPr>
                <w:sz w:val="16"/>
                <w:szCs w:val="24"/>
              </w:rPr>
            </w:pPr>
            <w:r w:rsidRPr="00C33200">
              <w:rPr>
                <w:sz w:val="16"/>
                <w:szCs w:val="24"/>
              </w:rPr>
              <w:t>Послуги сторонніх організацій</w:t>
            </w:r>
          </w:p>
        </w:tc>
        <w:tc>
          <w:tcPr>
            <w:tcW w:w="851" w:type="dxa"/>
            <w:vAlign w:val="center"/>
          </w:tcPr>
          <w:p w:rsidR="00825D18" w:rsidRPr="00C33200" w:rsidRDefault="00825D18" w:rsidP="00825D18">
            <w:pPr>
              <w:jc w:val="center"/>
              <w:rPr>
                <w:sz w:val="16"/>
                <w:szCs w:val="24"/>
              </w:rPr>
            </w:pPr>
            <w:r w:rsidRPr="00C33200">
              <w:rPr>
                <w:sz w:val="16"/>
                <w:szCs w:val="24"/>
              </w:rPr>
              <w:t>Вартість матеріалів придбаних ліцензіатом</w:t>
            </w:r>
          </w:p>
        </w:tc>
        <w:tc>
          <w:tcPr>
            <w:tcW w:w="708" w:type="dxa"/>
            <w:vAlign w:val="center"/>
          </w:tcPr>
          <w:p w:rsidR="00825D18" w:rsidRPr="00C33200" w:rsidRDefault="00825D18" w:rsidP="00825D18">
            <w:pPr>
              <w:jc w:val="center"/>
              <w:rPr>
                <w:sz w:val="16"/>
                <w:szCs w:val="24"/>
              </w:rPr>
            </w:pPr>
            <w:r w:rsidRPr="00C33200">
              <w:rPr>
                <w:sz w:val="16"/>
                <w:szCs w:val="24"/>
              </w:rPr>
              <w:t>Всього</w:t>
            </w:r>
          </w:p>
        </w:tc>
        <w:tc>
          <w:tcPr>
            <w:tcW w:w="851" w:type="dxa"/>
            <w:vAlign w:val="center"/>
          </w:tcPr>
          <w:p w:rsidR="00825D18" w:rsidRPr="00C33200" w:rsidRDefault="00825D18" w:rsidP="00825D18">
            <w:pPr>
              <w:jc w:val="center"/>
              <w:rPr>
                <w:sz w:val="16"/>
                <w:szCs w:val="24"/>
              </w:rPr>
            </w:pPr>
            <w:r w:rsidRPr="00C33200">
              <w:rPr>
                <w:sz w:val="16"/>
                <w:szCs w:val="24"/>
              </w:rPr>
              <w:t>Послуги сторонніх організацій</w:t>
            </w:r>
          </w:p>
        </w:tc>
        <w:tc>
          <w:tcPr>
            <w:tcW w:w="850" w:type="dxa"/>
            <w:vAlign w:val="center"/>
          </w:tcPr>
          <w:p w:rsidR="00825D18" w:rsidRPr="00C33200" w:rsidRDefault="00825D18" w:rsidP="00825D18">
            <w:pPr>
              <w:jc w:val="center"/>
              <w:rPr>
                <w:sz w:val="16"/>
                <w:szCs w:val="24"/>
              </w:rPr>
            </w:pPr>
            <w:r w:rsidRPr="00C33200">
              <w:rPr>
                <w:sz w:val="16"/>
                <w:szCs w:val="24"/>
              </w:rPr>
              <w:t>Вартість матеріалів придбаних ліцензіатом</w:t>
            </w:r>
          </w:p>
        </w:tc>
        <w:tc>
          <w:tcPr>
            <w:tcW w:w="709" w:type="dxa"/>
            <w:vAlign w:val="center"/>
          </w:tcPr>
          <w:p w:rsidR="00825D18" w:rsidRPr="00C33200" w:rsidRDefault="00825D18" w:rsidP="00825D18">
            <w:pPr>
              <w:jc w:val="center"/>
              <w:rPr>
                <w:sz w:val="16"/>
                <w:szCs w:val="24"/>
              </w:rPr>
            </w:pPr>
            <w:r w:rsidRPr="00C33200">
              <w:rPr>
                <w:sz w:val="16"/>
                <w:szCs w:val="24"/>
              </w:rPr>
              <w:t>Всього</w:t>
            </w:r>
          </w:p>
        </w:tc>
        <w:tc>
          <w:tcPr>
            <w:tcW w:w="851" w:type="dxa"/>
            <w:vAlign w:val="center"/>
          </w:tcPr>
          <w:p w:rsidR="00825D18" w:rsidRPr="00C33200" w:rsidRDefault="00825D18" w:rsidP="00825D18">
            <w:pPr>
              <w:jc w:val="center"/>
              <w:rPr>
                <w:sz w:val="16"/>
                <w:szCs w:val="24"/>
              </w:rPr>
            </w:pPr>
            <w:r w:rsidRPr="00C33200">
              <w:rPr>
                <w:sz w:val="16"/>
                <w:szCs w:val="24"/>
              </w:rPr>
              <w:t>Послуги сторонніх організацій</w:t>
            </w:r>
          </w:p>
        </w:tc>
        <w:tc>
          <w:tcPr>
            <w:tcW w:w="937" w:type="dxa"/>
            <w:vAlign w:val="center"/>
          </w:tcPr>
          <w:p w:rsidR="00825D18" w:rsidRPr="00C33200" w:rsidRDefault="00825D18" w:rsidP="00825D18">
            <w:pPr>
              <w:jc w:val="center"/>
              <w:rPr>
                <w:sz w:val="16"/>
                <w:szCs w:val="24"/>
              </w:rPr>
            </w:pPr>
            <w:r w:rsidRPr="00C33200">
              <w:rPr>
                <w:sz w:val="16"/>
                <w:szCs w:val="24"/>
              </w:rPr>
              <w:t>Вартість матеріалів придбаних ліцензіатом</w:t>
            </w:r>
          </w:p>
        </w:tc>
        <w:tc>
          <w:tcPr>
            <w:tcW w:w="790" w:type="dxa"/>
            <w:vAlign w:val="center"/>
          </w:tcPr>
          <w:p w:rsidR="00825D18" w:rsidRPr="00C33200" w:rsidRDefault="00825D18" w:rsidP="00825D18">
            <w:pPr>
              <w:jc w:val="center"/>
              <w:rPr>
                <w:sz w:val="16"/>
                <w:szCs w:val="24"/>
              </w:rPr>
            </w:pPr>
            <w:r w:rsidRPr="00C33200">
              <w:rPr>
                <w:sz w:val="16"/>
                <w:szCs w:val="24"/>
              </w:rPr>
              <w:t>Всього</w:t>
            </w:r>
          </w:p>
        </w:tc>
      </w:tr>
      <w:tr w:rsidR="00825D18" w:rsidTr="00C33200">
        <w:tc>
          <w:tcPr>
            <w:tcW w:w="274" w:type="dxa"/>
            <w:vAlign w:val="center"/>
          </w:tcPr>
          <w:p w:rsidR="00825D18" w:rsidRPr="00825D18" w:rsidRDefault="00825D18" w:rsidP="00825D18">
            <w:pPr>
              <w:rPr>
                <w:sz w:val="16"/>
              </w:rPr>
            </w:pPr>
            <w:r w:rsidRPr="00825D18">
              <w:rPr>
                <w:sz w:val="16"/>
              </w:rPr>
              <w:t>1</w:t>
            </w:r>
          </w:p>
        </w:tc>
        <w:tc>
          <w:tcPr>
            <w:tcW w:w="2448" w:type="dxa"/>
            <w:vAlign w:val="center"/>
          </w:tcPr>
          <w:p w:rsidR="00825D18" w:rsidRPr="00825D18" w:rsidRDefault="00825D18" w:rsidP="00825D18">
            <w:pPr>
              <w:rPr>
                <w:sz w:val="16"/>
              </w:rPr>
            </w:pPr>
            <w:r w:rsidRPr="00825D18">
              <w:rPr>
                <w:sz w:val="16"/>
              </w:rPr>
              <w:t>Ремонт ємності зберігання піни з утилізацією піноутворювача.</w:t>
            </w:r>
          </w:p>
        </w:tc>
        <w:tc>
          <w:tcPr>
            <w:tcW w:w="850" w:type="dxa"/>
            <w:vAlign w:val="center"/>
          </w:tcPr>
          <w:p w:rsidR="00825D18" w:rsidRPr="00654419" w:rsidRDefault="00825D18" w:rsidP="00825D18">
            <w:pPr>
              <w:jc w:val="right"/>
              <w:rPr>
                <w:sz w:val="18"/>
              </w:rPr>
            </w:pPr>
            <w:r w:rsidRPr="00654419">
              <w:rPr>
                <w:sz w:val="18"/>
              </w:rPr>
              <w:t xml:space="preserve">341.8 </w:t>
            </w:r>
          </w:p>
        </w:tc>
        <w:tc>
          <w:tcPr>
            <w:tcW w:w="851" w:type="dxa"/>
            <w:vAlign w:val="center"/>
          </w:tcPr>
          <w:p w:rsidR="00825D18" w:rsidRPr="00654419" w:rsidRDefault="00825D18" w:rsidP="00825D18">
            <w:pPr>
              <w:jc w:val="right"/>
              <w:rPr>
                <w:sz w:val="18"/>
              </w:rPr>
            </w:pPr>
            <w:r w:rsidRPr="00654419">
              <w:rPr>
                <w:sz w:val="18"/>
              </w:rPr>
              <w:t xml:space="preserve">315.0 </w:t>
            </w:r>
          </w:p>
        </w:tc>
        <w:tc>
          <w:tcPr>
            <w:tcW w:w="708" w:type="dxa"/>
            <w:vAlign w:val="center"/>
          </w:tcPr>
          <w:p w:rsidR="00825D18" w:rsidRPr="00654419" w:rsidRDefault="00825D18" w:rsidP="00825D18">
            <w:pPr>
              <w:jc w:val="right"/>
              <w:rPr>
                <w:b/>
                <w:sz w:val="18"/>
              </w:rPr>
            </w:pPr>
            <w:r w:rsidRPr="00654419">
              <w:rPr>
                <w:b/>
                <w:sz w:val="18"/>
              </w:rPr>
              <w:t xml:space="preserve">656.8 </w:t>
            </w:r>
          </w:p>
        </w:tc>
        <w:tc>
          <w:tcPr>
            <w:tcW w:w="851" w:type="dxa"/>
            <w:vAlign w:val="center"/>
          </w:tcPr>
          <w:p w:rsidR="00825D18" w:rsidRPr="00654419" w:rsidRDefault="00825D18" w:rsidP="00825D18">
            <w:pPr>
              <w:jc w:val="right"/>
              <w:rPr>
                <w:sz w:val="18"/>
              </w:rPr>
            </w:pPr>
            <w:r w:rsidRPr="00654419">
              <w:rPr>
                <w:sz w:val="18"/>
              </w:rPr>
              <w:t>-</w:t>
            </w:r>
          </w:p>
        </w:tc>
        <w:tc>
          <w:tcPr>
            <w:tcW w:w="850" w:type="dxa"/>
            <w:vAlign w:val="center"/>
          </w:tcPr>
          <w:p w:rsidR="00825D18" w:rsidRPr="00654419" w:rsidRDefault="00825D18" w:rsidP="00825D18">
            <w:pPr>
              <w:jc w:val="right"/>
              <w:rPr>
                <w:sz w:val="18"/>
              </w:rPr>
            </w:pPr>
            <w:r w:rsidRPr="00654419">
              <w:rPr>
                <w:sz w:val="18"/>
              </w:rPr>
              <w:t xml:space="preserve">16.9 </w:t>
            </w:r>
          </w:p>
        </w:tc>
        <w:tc>
          <w:tcPr>
            <w:tcW w:w="709" w:type="dxa"/>
            <w:vAlign w:val="center"/>
          </w:tcPr>
          <w:p w:rsidR="00825D18" w:rsidRPr="00654419" w:rsidRDefault="00825D18" w:rsidP="00825D18">
            <w:pPr>
              <w:jc w:val="right"/>
              <w:rPr>
                <w:b/>
                <w:sz w:val="18"/>
              </w:rPr>
            </w:pPr>
            <w:r w:rsidRPr="00654419">
              <w:rPr>
                <w:b/>
                <w:sz w:val="18"/>
              </w:rPr>
              <w:t xml:space="preserve">16.9 </w:t>
            </w:r>
          </w:p>
        </w:tc>
        <w:tc>
          <w:tcPr>
            <w:tcW w:w="851" w:type="dxa"/>
            <w:vAlign w:val="center"/>
          </w:tcPr>
          <w:p w:rsidR="00825D18" w:rsidRPr="00654419" w:rsidRDefault="00825D18" w:rsidP="00825D18">
            <w:pPr>
              <w:jc w:val="right"/>
              <w:rPr>
                <w:color w:val="FF0000"/>
                <w:sz w:val="18"/>
              </w:rPr>
            </w:pPr>
            <w:r w:rsidRPr="00654419">
              <w:rPr>
                <w:color w:val="FF0000"/>
                <w:sz w:val="18"/>
              </w:rPr>
              <w:t xml:space="preserve">-341.8 </w:t>
            </w:r>
          </w:p>
        </w:tc>
        <w:tc>
          <w:tcPr>
            <w:tcW w:w="937" w:type="dxa"/>
            <w:vAlign w:val="center"/>
          </w:tcPr>
          <w:p w:rsidR="00825D18" w:rsidRPr="00654419" w:rsidRDefault="00825D18" w:rsidP="00825D18">
            <w:pPr>
              <w:jc w:val="right"/>
              <w:rPr>
                <w:color w:val="FF0000"/>
                <w:sz w:val="18"/>
              </w:rPr>
            </w:pPr>
            <w:r w:rsidRPr="00654419">
              <w:rPr>
                <w:color w:val="FF0000"/>
                <w:sz w:val="18"/>
              </w:rPr>
              <w:t xml:space="preserve">-298.1 </w:t>
            </w:r>
          </w:p>
        </w:tc>
        <w:tc>
          <w:tcPr>
            <w:tcW w:w="790" w:type="dxa"/>
            <w:vAlign w:val="center"/>
          </w:tcPr>
          <w:p w:rsidR="00825D18" w:rsidRPr="00654419" w:rsidRDefault="00825D18" w:rsidP="00825D18">
            <w:pPr>
              <w:jc w:val="right"/>
              <w:rPr>
                <w:b/>
                <w:color w:val="FF0000"/>
                <w:sz w:val="18"/>
              </w:rPr>
            </w:pPr>
            <w:r w:rsidRPr="00654419">
              <w:rPr>
                <w:b/>
                <w:color w:val="FF0000"/>
                <w:sz w:val="18"/>
              </w:rPr>
              <w:t xml:space="preserve">-639.9 </w:t>
            </w:r>
          </w:p>
        </w:tc>
      </w:tr>
      <w:tr w:rsidR="00825D18" w:rsidTr="00C33200">
        <w:tc>
          <w:tcPr>
            <w:tcW w:w="274" w:type="dxa"/>
            <w:vAlign w:val="center"/>
          </w:tcPr>
          <w:p w:rsidR="00825D18" w:rsidRPr="00825D18" w:rsidRDefault="00825D18" w:rsidP="00825D18">
            <w:pPr>
              <w:rPr>
                <w:sz w:val="16"/>
              </w:rPr>
            </w:pPr>
            <w:r w:rsidRPr="00825D18">
              <w:rPr>
                <w:sz w:val="16"/>
              </w:rPr>
              <w:t>2</w:t>
            </w:r>
          </w:p>
        </w:tc>
        <w:tc>
          <w:tcPr>
            <w:tcW w:w="2448" w:type="dxa"/>
            <w:vAlign w:val="center"/>
          </w:tcPr>
          <w:p w:rsidR="00825D18" w:rsidRPr="00825D18" w:rsidRDefault="00825D18" w:rsidP="00825D18">
            <w:pPr>
              <w:rPr>
                <w:sz w:val="16"/>
              </w:rPr>
            </w:pPr>
            <w:r w:rsidRPr="00825D18">
              <w:rPr>
                <w:sz w:val="16"/>
              </w:rPr>
              <w:t>Відновлення антикорозійного покриття металоконструкцій ВРП-110 кВ та ВРП-35 кВ.</w:t>
            </w:r>
          </w:p>
        </w:tc>
        <w:tc>
          <w:tcPr>
            <w:tcW w:w="850" w:type="dxa"/>
            <w:vAlign w:val="center"/>
          </w:tcPr>
          <w:p w:rsidR="00825D18" w:rsidRPr="00654419" w:rsidRDefault="00825D18" w:rsidP="00825D18">
            <w:pPr>
              <w:jc w:val="right"/>
              <w:rPr>
                <w:sz w:val="18"/>
              </w:rPr>
            </w:pPr>
            <w:r w:rsidRPr="00654419">
              <w:rPr>
                <w:sz w:val="18"/>
              </w:rPr>
              <w:t xml:space="preserve">63.0 </w:t>
            </w:r>
          </w:p>
        </w:tc>
        <w:tc>
          <w:tcPr>
            <w:tcW w:w="851" w:type="dxa"/>
            <w:vAlign w:val="center"/>
          </w:tcPr>
          <w:p w:rsidR="00825D18" w:rsidRPr="00654419" w:rsidRDefault="00825D18" w:rsidP="00825D18">
            <w:pPr>
              <w:jc w:val="right"/>
              <w:rPr>
                <w:sz w:val="18"/>
              </w:rPr>
            </w:pPr>
            <w:r w:rsidRPr="00654419">
              <w:rPr>
                <w:sz w:val="18"/>
              </w:rPr>
              <w:t xml:space="preserve">278.6 </w:t>
            </w:r>
          </w:p>
        </w:tc>
        <w:tc>
          <w:tcPr>
            <w:tcW w:w="708" w:type="dxa"/>
            <w:vAlign w:val="center"/>
          </w:tcPr>
          <w:p w:rsidR="00825D18" w:rsidRPr="00654419" w:rsidRDefault="00825D18" w:rsidP="00825D18">
            <w:pPr>
              <w:jc w:val="right"/>
              <w:rPr>
                <w:b/>
                <w:sz w:val="18"/>
              </w:rPr>
            </w:pPr>
            <w:r w:rsidRPr="00654419">
              <w:rPr>
                <w:b/>
                <w:sz w:val="18"/>
              </w:rPr>
              <w:t xml:space="preserve">341.6 </w:t>
            </w:r>
          </w:p>
        </w:tc>
        <w:tc>
          <w:tcPr>
            <w:tcW w:w="851" w:type="dxa"/>
            <w:vAlign w:val="center"/>
          </w:tcPr>
          <w:p w:rsidR="00825D18" w:rsidRPr="00654419" w:rsidRDefault="00825D18" w:rsidP="00825D18">
            <w:pPr>
              <w:jc w:val="right"/>
              <w:rPr>
                <w:sz w:val="18"/>
              </w:rPr>
            </w:pPr>
            <w:r w:rsidRPr="00654419">
              <w:rPr>
                <w:sz w:val="18"/>
              </w:rPr>
              <w:t>-</w:t>
            </w:r>
          </w:p>
        </w:tc>
        <w:tc>
          <w:tcPr>
            <w:tcW w:w="850" w:type="dxa"/>
            <w:vAlign w:val="center"/>
          </w:tcPr>
          <w:p w:rsidR="00825D18" w:rsidRPr="00654419" w:rsidRDefault="00825D18" w:rsidP="00825D18">
            <w:pPr>
              <w:jc w:val="right"/>
              <w:rPr>
                <w:sz w:val="18"/>
              </w:rPr>
            </w:pPr>
            <w:r w:rsidRPr="00654419">
              <w:rPr>
                <w:sz w:val="18"/>
              </w:rPr>
              <w:t xml:space="preserve">32.1 </w:t>
            </w:r>
          </w:p>
        </w:tc>
        <w:tc>
          <w:tcPr>
            <w:tcW w:w="709" w:type="dxa"/>
            <w:vAlign w:val="center"/>
          </w:tcPr>
          <w:p w:rsidR="00825D18" w:rsidRPr="00654419" w:rsidRDefault="00825D18" w:rsidP="00825D18">
            <w:pPr>
              <w:jc w:val="right"/>
              <w:rPr>
                <w:b/>
                <w:sz w:val="18"/>
              </w:rPr>
            </w:pPr>
            <w:r w:rsidRPr="00654419">
              <w:rPr>
                <w:b/>
                <w:sz w:val="18"/>
              </w:rPr>
              <w:t xml:space="preserve">32.1 </w:t>
            </w:r>
          </w:p>
        </w:tc>
        <w:tc>
          <w:tcPr>
            <w:tcW w:w="851" w:type="dxa"/>
            <w:vAlign w:val="center"/>
          </w:tcPr>
          <w:p w:rsidR="00825D18" w:rsidRPr="00654419" w:rsidRDefault="00825D18" w:rsidP="00825D18">
            <w:pPr>
              <w:jc w:val="right"/>
              <w:rPr>
                <w:color w:val="FF0000"/>
                <w:sz w:val="18"/>
              </w:rPr>
            </w:pPr>
            <w:r w:rsidRPr="00654419">
              <w:rPr>
                <w:color w:val="FF0000"/>
                <w:sz w:val="18"/>
              </w:rPr>
              <w:t xml:space="preserve">-63.0 </w:t>
            </w:r>
          </w:p>
        </w:tc>
        <w:tc>
          <w:tcPr>
            <w:tcW w:w="937" w:type="dxa"/>
            <w:vAlign w:val="center"/>
          </w:tcPr>
          <w:p w:rsidR="00825D18" w:rsidRPr="00654419" w:rsidRDefault="00825D18" w:rsidP="00825D18">
            <w:pPr>
              <w:jc w:val="right"/>
              <w:rPr>
                <w:color w:val="FF0000"/>
                <w:sz w:val="18"/>
              </w:rPr>
            </w:pPr>
            <w:r w:rsidRPr="00654419">
              <w:rPr>
                <w:color w:val="FF0000"/>
                <w:sz w:val="18"/>
              </w:rPr>
              <w:t xml:space="preserve">-246.6 </w:t>
            </w:r>
          </w:p>
        </w:tc>
        <w:tc>
          <w:tcPr>
            <w:tcW w:w="790" w:type="dxa"/>
            <w:vAlign w:val="center"/>
          </w:tcPr>
          <w:p w:rsidR="00825D18" w:rsidRPr="00654419" w:rsidRDefault="00825D18" w:rsidP="00825D18">
            <w:pPr>
              <w:jc w:val="right"/>
              <w:rPr>
                <w:b/>
                <w:color w:val="FF0000"/>
                <w:sz w:val="18"/>
              </w:rPr>
            </w:pPr>
            <w:r w:rsidRPr="00654419">
              <w:rPr>
                <w:b/>
                <w:color w:val="FF0000"/>
                <w:sz w:val="18"/>
              </w:rPr>
              <w:t xml:space="preserve">-309.6 </w:t>
            </w:r>
          </w:p>
        </w:tc>
      </w:tr>
      <w:tr w:rsidR="00825D18" w:rsidTr="00C33200">
        <w:tc>
          <w:tcPr>
            <w:tcW w:w="274" w:type="dxa"/>
            <w:vAlign w:val="center"/>
          </w:tcPr>
          <w:p w:rsidR="00825D18" w:rsidRPr="00825D18" w:rsidRDefault="00825D18" w:rsidP="00825D18">
            <w:pPr>
              <w:rPr>
                <w:sz w:val="16"/>
              </w:rPr>
            </w:pPr>
            <w:r w:rsidRPr="00825D18">
              <w:rPr>
                <w:sz w:val="16"/>
              </w:rPr>
              <w:t>3</w:t>
            </w:r>
          </w:p>
        </w:tc>
        <w:tc>
          <w:tcPr>
            <w:tcW w:w="2448" w:type="dxa"/>
            <w:vAlign w:val="center"/>
          </w:tcPr>
          <w:p w:rsidR="00825D18" w:rsidRPr="00825D18" w:rsidRDefault="00825D18" w:rsidP="00825D18">
            <w:pPr>
              <w:rPr>
                <w:sz w:val="16"/>
              </w:rPr>
            </w:pPr>
            <w:r w:rsidRPr="00825D18">
              <w:rPr>
                <w:sz w:val="16"/>
              </w:rPr>
              <w:t>Ремонт посудин водневих ресиверів №2 та №4.</w:t>
            </w:r>
          </w:p>
        </w:tc>
        <w:tc>
          <w:tcPr>
            <w:tcW w:w="850" w:type="dxa"/>
            <w:vAlign w:val="center"/>
          </w:tcPr>
          <w:p w:rsidR="00825D18" w:rsidRPr="00654419" w:rsidRDefault="00825D18" w:rsidP="00825D18">
            <w:pPr>
              <w:jc w:val="right"/>
              <w:rPr>
                <w:sz w:val="18"/>
              </w:rPr>
            </w:pPr>
            <w:r w:rsidRPr="00654419">
              <w:rPr>
                <w:sz w:val="18"/>
              </w:rPr>
              <w:t xml:space="preserve">165.1 </w:t>
            </w:r>
          </w:p>
        </w:tc>
        <w:tc>
          <w:tcPr>
            <w:tcW w:w="851" w:type="dxa"/>
            <w:vAlign w:val="center"/>
          </w:tcPr>
          <w:p w:rsidR="00825D18" w:rsidRPr="00654419" w:rsidRDefault="00825D18" w:rsidP="00825D18">
            <w:pPr>
              <w:jc w:val="right"/>
              <w:rPr>
                <w:sz w:val="18"/>
              </w:rPr>
            </w:pPr>
            <w:r w:rsidRPr="00654419">
              <w:rPr>
                <w:sz w:val="18"/>
              </w:rPr>
              <w:t xml:space="preserve">280.0 </w:t>
            </w:r>
          </w:p>
        </w:tc>
        <w:tc>
          <w:tcPr>
            <w:tcW w:w="708" w:type="dxa"/>
            <w:vAlign w:val="center"/>
          </w:tcPr>
          <w:p w:rsidR="00825D18" w:rsidRPr="00654419" w:rsidRDefault="00825D18" w:rsidP="00825D18">
            <w:pPr>
              <w:jc w:val="right"/>
              <w:rPr>
                <w:b/>
                <w:sz w:val="18"/>
              </w:rPr>
            </w:pPr>
            <w:r w:rsidRPr="00654419">
              <w:rPr>
                <w:b/>
                <w:sz w:val="18"/>
              </w:rPr>
              <w:t xml:space="preserve">445.1 </w:t>
            </w:r>
          </w:p>
        </w:tc>
        <w:tc>
          <w:tcPr>
            <w:tcW w:w="851" w:type="dxa"/>
            <w:vAlign w:val="center"/>
          </w:tcPr>
          <w:p w:rsidR="00825D18" w:rsidRPr="00654419" w:rsidRDefault="00825D18" w:rsidP="00825D18">
            <w:pPr>
              <w:jc w:val="right"/>
              <w:rPr>
                <w:sz w:val="18"/>
              </w:rPr>
            </w:pPr>
            <w:r w:rsidRPr="00654419">
              <w:rPr>
                <w:sz w:val="18"/>
              </w:rPr>
              <w:t>-</w:t>
            </w:r>
          </w:p>
        </w:tc>
        <w:tc>
          <w:tcPr>
            <w:tcW w:w="850" w:type="dxa"/>
            <w:vAlign w:val="center"/>
          </w:tcPr>
          <w:p w:rsidR="00825D18" w:rsidRPr="00654419" w:rsidRDefault="00825D18" w:rsidP="00825D18">
            <w:pPr>
              <w:jc w:val="right"/>
              <w:rPr>
                <w:sz w:val="18"/>
              </w:rPr>
            </w:pPr>
            <w:r w:rsidRPr="00654419">
              <w:rPr>
                <w:sz w:val="18"/>
              </w:rPr>
              <w:t>-</w:t>
            </w:r>
          </w:p>
        </w:tc>
        <w:tc>
          <w:tcPr>
            <w:tcW w:w="709" w:type="dxa"/>
            <w:vAlign w:val="center"/>
          </w:tcPr>
          <w:p w:rsidR="00825D18" w:rsidRPr="00654419" w:rsidRDefault="00825D18" w:rsidP="00825D18">
            <w:pPr>
              <w:jc w:val="right"/>
              <w:rPr>
                <w:b/>
                <w:sz w:val="18"/>
              </w:rPr>
            </w:pPr>
            <w:r w:rsidRPr="00654419">
              <w:rPr>
                <w:b/>
                <w:sz w:val="18"/>
              </w:rPr>
              <w:t xml:space="preserve">- </w:t>
            </w:r>
          </w:p>
        </w:tc>
        <w:tc>
          <w:tcPr>
            <w:tcW w:w="851" w:type="dxa"/>
            <w:vAlign w:val="center"/>
          </w:tcPr>
          <w:p w:rsidR="00825D18" w:rsidRPr="00654419" w:rsidRDefault="00825D18" w:rsidP="00825D18">
            <w:pPr>
              <w:jc w:val="right"/>
              <w:rPr>
                <w:color w:val="FF0000"/>
                <w:sz w:val="18"/>
              </w:rPr>
            </w:pPr>
            <w:r w:rsidRPr="00654419">
              <w:rPr>
                <w:color w:val="FF0000"/>
                <w:sz w:val="18"/>
              </w:rPr>
              <w:t xml:space="preserve">-165.1 </w:t>
            </w:r>
          </w:p>
        </w:tc>
        <w:tc>
          <w:tcPr>
            <w:tcW w:w="937" w:type="dxa"/>
            <w:vAlign w:val="center"/>
          </w:tcPr>
          <w:p w:rsidR="00825D18" w:rsidRPr="00654419" w:rsidRDefault="00825D18" w:rsidP="00825D18">
            <w:pPr>
              <w:jc w:val="right"/>
              <w:rPr>
                <w:color w:val="FF0000"/>
                <w:sz w:val="18"/>
              </w:rPr>
            </w:pPr>
            <w:r w:rsidRPr="00654419">
              <w:rPr>
                <w:color w:val="FF0000"/>
                <w:sz w:val="18"/>
              </w:rPr>
              <w:t xml:space="preserve">-280.0 </w:t>
            </w:r>
          </w:p>
        </w:tc>
        <w:tc>
          <w:tcPr>
            <w:tcW w:w="790" w:type="dxa"/>
            <w:vAlign w:val="center"/>
          </w:tcPr>
          <w:p w:rsidR="00825D18" w:rsidRPr="00654419" w:rsidRDefault="00825D18" w:rsidP="00825D18">
            <w:pPr>
              <w:jc w:val="right"/>
              <w:rPr>
                <w:b/>
                <w:color w:val="FF0000"/>
                <w:sz w:val="18"/>
              </w:rPr>
            </w:pPr>
            <w:r w:rsidRPr="00654419">
              <w:rPr>
                <w:b/>
                <w:color w:val="FF0000"/>
                <w:sz w:val="18"/>
              </w:rPr>
              <w:t xml:space="preserve">-445.1 </w:t>
            </w:r>
          </w:p>
        </w:tc>
      </w:tr>
      <w:tr w:rsidR="00825D18" w:rsidTr="00C33200">
        <w:tc>
          <w:tcPr>
            <w:tcW w:w="274" w:type="dxa"/>
            <w:vAlign w:val="center"/>
          </w:tcPr>
          <w:p w:rsidR="00825D18" w:rsidRPr="00825D18" w:rsidRDefault="00825D18" w:rsidP="00825D18">
            <w:pPr>
              <w:rPr>
                <w:sz w:val="16"/>
              </w:rPr>
            </w:pPr>
            <w:r w:rsidRPr="00825D18">
              <w:rPr>
                <w:sz w:val="16"/>
              </w:rPr>
              <w:t>4</w:t>
            </w:r>
          </w:p>
        </w:tc>
        <w:tc>
          <w:tcPr>
            <w:tcW w:w="2448" w:type="dxa"/>
            <w:vAlign w:val="center"/>
          </w:tcPr>
          <w:p w:rsidR="00825D18" w:rsidRPr="00825D18" w:rsidRDefault="0077070D" w:rsidP="00825D18">
            <w:pPr>
              <w:rPr>
                <w:sz w:val="16"/>
              </w:rPr>
            </w:pPr>
            <w:r>
              <w:rPr>
                <w:sz w:val="16"/>
              </w:rPr>
              <w:t xml:space="preserve">Ремонт турбогенератора </w:t>
            </w:r>
            <w:r w:rsidR="00825D18" w:rsidRPr="00825D18">
              <w:rPr>
                <w:sz w:val="16"/>
              </w:rPr>
              <w:t>ПТ-50/60-130/7 ст.№1.</w:t>
            </w:r>
          </w:p>
        </w:tc>
        <w:tc>
          <w:tcPr>
            <w:tcW w:w="850" w:type="dxa"/>
            <w:vAlign w:val="center"/>
          </w:tcPr>
          <w:p w:rsidR="00825D18" w:rsidRPr="00654419" w:rsidRDefault="00825D18" w:rsidP="00825D18">
            <w:pPr>
              <w:jc w:val="right"/>
              <w:rPr>
                <w:sz w:val="18"/>
              </w:rPr>
            </w:pPr>
            <w:r w:rsidRPr="00654419">
              <w:rPr>
                <w:sz w:val="18"/>
              </w:rPr>
              <w:t xml:space="preserve">1 931.2 </w:t>
            </w:r>
          </w:p>
        </w:tc>
        <w:tc>
          <w:tcPr>
            <w:tcW w:w="851" w:type="dxa"/>
            <w:vAlign w:val="center"/>
          </w:tcPr>
          <w:p w:rsidR="00825D18" w:rsidRPr="00654419" w:rsidRDefault="00825D18" w:rsidP="00825D18">
            <w:pPr>
              <w:jc w:val="right"/>
              <w:rPr>
                <w:sz w:val="18"/>
              </w:rPr>
            </w:pPr>
            <w:r w:rsidRPr="00654419">
              <w:rPr>
                <w:sz w:val="18"/>
              </w:rPr>
              <w:t xml:space="preserve">1 870.8 </w:t>
            </w:r>
          </w:p>
        </w:tc>
        <w:tc>
          <w:tcPr>
            <w:tcW w:w="708" w:type="dxa"/>
            <w:vAlign w:val="center"/>
          </w:tcPr>
          <w:p w:rsidR="00825D18" w:rsidRPr="00654419" w:rsidRDefault="00825D18" w:rsidP="00825D18">
            <w:pPr>
              <w:jc w:val="right"/>
              <w:rPr>
                <w:b/>
                <w:sz w:val="18"/>
              </w:rPr>
            </w:pPr>
            <w:r w:rsidRPr="00654419">
              <w:rPr>
                <w:b/>
                <w:sz w:val="18"/>
              </w:rPr>
              <w:t xml:space="preserve">3 802.0 </w:t>
            </w:r>
          </w:p>
        </w:tc>
        <w:tc>
          <w:tcPr>
            <w:tcW w:w="851" w:type="dxa"/>
            <w:vAlign w:val="center"/>
          </w:tcPr>
          <w:p w:rsidR="00825D18" w:rsidRPr="00654419" w:rsidRDefault="00825D18" w:rsidP="00825D18">
            <w:pPr>
              <w:jc w:val="right"/>
              <w:rPr>
                <w:sz w:val="18"/>
              </w:rPr>
            </w:pPr>
            <w:r w:rsidRPr="00654419">
              <w:rPr>
                <w:sz w:val="18"/>
              </w:rPr>
              <w:t xml:space="preserve">3 325.7 </w:t>
            </w:r>
          </w:p>
        </w:tc>
        <w:tc>
          <w:tcPr>
            <w:tcW w:w="850" w:type="dxa"/>
            <w:vAlign w:val="center"/>
          </w:tcPr>
          <w:p w:rsidR="00825D18" w:rsidRPr="00654419" w:rsidRDefault="00825D18" w:rsidP="00825D18">
            <w:pPr>
              <w:jc w:val="right"/>
              <w:rPr>
                <w:sz w:val="18"/>
              </w:rPr>
            </w:pPr>
            <w:r w:rsidRPr="00654419">
              <w:rPr>
                <w:sz w:val="18"/>
              </w:rPr>
              <w:t xml:space="preserve">1 870.8 </w:t>
            </w:r>
          </w:p>
        </w:tc>
        <w:tc>
          <w:tcPr>
            <w:tcW w:w="709" w:type="dxa"/>
            <w:vAlign w:val="center"/>
          </w:tcPr>
          <w:p w:rsidR="00825D18" w:rsidRPr="00654419" w:rsidRDefault="00825D18" w:rsidP="00825D18">
            <w:pPr>
              <w:jc w:val="right"/>
              <w:rPr>
                <w:b/>
                <w:sz w:val="18"/>
              </w:rPr>
            </w:pPr>
            <w:r w:rsidRPr="00654419">
              <w:rPr>
                <w:b/>
                <w:sz w:val="18"/>
              </w:rPr>
              <w:t xml:space="preserve">5 196.6 </w:t>
            </w:r>
          </w:p>
        </w:tc>
        <w:tc>
          <w:tcPr>
            <w:tcW w:w="851" w:type="dxa"/>
            <w:vAlign w:val="center"/>
          </w:tcPr>
          <w:p w:rsidR="00825D18" w:rsidRPr="00654419" w:rsidRDefault="00825D18" w:rsidP="00825D18">
            <w:pPr>
              <w:jc w:val="right"/>
              <w:rPr>
                <w:sz w:val="18"/>
              </w:rPr>
            </w:pPr>
            <w:r w:rsidRPr="00654419">
              <w:rPr>
                <w:sz w:val="18"/>
              </w:rPr>
              <w:t xml:space="preserve">1 394.6 </w:t>
            </w:r>
          </w:p>
        </w:tc>
        <w:tc>
          <w:tcPr>
            <w:tcW w:w="937" w:type="dxa"/>
            <w:vAlign w:val="center"/>
          </w:tcPr>
          <w:p w:rsidR="00825D18" w:rsidRPr="00654419" w:rsidRDefault="00825D18" w:rsidP="00825D18">
            <w:pPr>
              <w:jc w:val="right"/>
              <w:rPr>
                <w:sz w:val="18"/>
              </w:rPr>
            </w:pPr>
            <w:r w:rsidRPr="00654419">
              <w:rPr>
                <w:sz w:val="18"/>
              </w:rPr>
              <w:t>-</w:t>
            </w:r>
          </w:p>
        </w:tc>
        <w:tc>
          <w:tcPr>
            <w:tcW w:w="790" w:type="dxa"/>
            <w:vAlign w:val="center"/>
          </w:tcPr>
          <w:p w:rsidR="00825D18" w:rsidRPr="00654419" w:rsidRDefault="00825D18" w:rsidP="00825D18">
            <w:pPr>
              <w:jc w:val="right"/>
              <w:rPr>
                <w:b/>
                <w:sz w:val="18"/>
              </w:rPr>
            </w:pPr>
            <w:r w:rsidRPr="00654419">
              <w:rPr>
                <w:b/>
                <w:sz w:val="18"/>
              </w:rPr>
              <w:t xml:space="preserve">1 394.6 </w:t>
            </w:r>
          </w:p>
        </w:tc>
      </w:tr>
      <w:tr w:rsidR="00825D18" w:rsidTr="00C33200">
        <w:tc>
          <w:tcPr>
            <w:tcW w:w="2722" w:type="dxa"/>
            <w:gridSpan w:val="2"/>
          </w:tcPr>
          <w:p w:rsidR="00825D18" w:rsidRPr="00674D9B" w:rsidRDefault="00825D18" w:rsidP="00782610">
            <w:pPr>
              <w:jc w:val="both"/>
              <w:rPr>
                <w:b/>
                <w:sz w:val="16"/>
                <w:szCs w:val="24"/>
              </w:rPr>
            </w:pPr>
            <w:r w:rsidRPr="00674D9B">
              <w:rPr>
                <w:b/>
                <w:sz w:val="16"/>
                <w:szCs w:val="24"/>
              </w:rPr>
              <w:t>Разом</w:t>
            </w:r>
            <w:r w:rsidRPr="00674D9B">
              <w:rPr>
                <w:b/>
                <w:sz w:val="16"/>
                <w:szCs w:val="24"/>
              </w:rPr>
              <w:tab/>
            </w:r>
          </w:p>
        </w:tc>
        <w:tc>
          <w:tcPr>
            <w:tcW w:w="850" w:type="dxa"/>
            <w:vAlign w:val="center"/>
          </w:tcPr>
          <w:p w:rsidR="00825D18" w:rsidRPr="00674D9B" w:rsidRDefault="00825D18" w:rsidP="00825D18">
            <w:pPr>
              <w:jc w:val="right"/>
              <w:rPr>
                <w:b/>
                <w:sz w:val="16"/>
              </w:rPr>
            </w:pPr>
            <w:r w:rsidRPr="00674D9B">
              <w:rPr>
                <w:b/>
                <w:sz w:val="16"/>
              </w:rPr>
              <w:t xml:space="preserve">2 501.1 </w:t>
            </w:r>
          </w:p>
        </w:tc>
        <w:tc>
          <w:tcPr>
            <w:tcW w:w="851" w:type="dxa"/>
            <w:vAlign w:val="center"/>
          </w:tcPr>
          <w:p w:rsidR="00825D18" w:rsidRPr="00674D9B" w:rsidRDefault="00825D18" w:rsidP="00825D18">
            <w:pPr>
              <w:jc w:val="right"/>
              <w:rPr>
                <w:b/>
                <w:sz w:val="16"/>
              </w:rPr>
            </w:pPr>
            <w:r w:rsidRPr="00674D9B">
              <w:rPr>
                <w:b/>
                <w:sz w:val="16"/>
              </w:rPr>
              <w:t xml:space="preserve">2 744.4 </w:t>
            </w:r>
          </w:p>
        </w:tc>
        <w:tc>
          <w:tcPr>
            <w:tcW w:w="708" w:type="dxa"/>
            <w:vAlign w:val="center"/>
          </w:tcPr>
          <w:p w:rsidR="00825D18" w:rsidRPr="00674D9B" w:rsidRDefault="00825D18" w:rsidP="00825D18">
            <w:pPr>
              <w:jc w:val="right"/>
              <w:rPr>
                <w:b/>
                <w:sz w:val="16"/>
              </w:rPr>
            </w:pPr>
            <w:r w:rsidRPr="00674D9B">
              <w:rPr>
                <w:b/>
                <w:sz w:val="16"/>
              </w:rPr>
              <w:t xml:space="preserve">5 245.5 </w:t>
            </w:r>
          </w:p>
        </w:tc>
        <w:tc>
          <w:tcPr>
            <w:tcW w:w="851" w:type="dxa"/>
            <w:vAlign w:val="center"/>
          </w:tcPr>
          <w:p w:rsidR="00825D18" w:rsidRPr="00674D9B" w:rsidRDefault="00825D18" w:rsidP="00825D18">
            <w:pPr>
              <w:jc w:val="right"/>
              <w:rPr>
                <w:b/>
                <w:sz w:val="16"/>
              </w:rPr>
            </w:pPr>
            <w:r w:rsidRPr="00674D9B">
              <w:rPr>
                <w:b/>
                <w:sz w:val="16"/>
              </w:rPr>
              <w:t xml:space="preserve">3 325.7 </w:t>
            </w:r>
          </w:p>
        </w:tc>
        <w:tc>
          <w:tcPr>
            <w:tcW w:w="850" w:type="dxa"/>
            <w:vAlign w:val="center"/>
          </w:tcPr>
          <w:p w:rsidR="00825D18" w:rsidRPr="00674D9B" w:rsidRDefault="00825D18" w:rsidP="00825D18">
            <w:pPr>
              <w:jc w:val="right"/>
              <w:rPr>
                <w:b/>
                <w:sz w:val="16"/>
              </w:rPr>
            </w:pPr>
            <w:r w:rsidRPr="00674D9B">
              <w:rPr>
                <w:b/>
                <w:sz w:val="16"/>
              </w:rPr>
              <w:t xml:space="preserve">1 919.8 </w:t>
            </w:r>
          </w:p>
        </w:tc>
        <w:tc>
          <w:tcPr>
            <w:tcW w:w="709" w:type="dxa"/>
            <w:vAlign w:val="center"/>
          </w:tcPr>
          <w:p w:rsidR="00825D18" w:rsidRPr="00674D9B" w:rsidRDefault="00825D18" w:rsidP="00825D18">
            <w:pPr>
              <w:jc w:val="right"/>
              <w:rPr>
                <w:b/>
                <w:sz w:val="16"/>
              </w:rPr>
            </w:pPr>
            <w:r w:rsidRPr="00674D9B">
              <w:rPr>
                <w:b/>
                <w:sz w:val="16"/>
              </w:rPr>
              <w:t xml:space="preserve">5 245.5 </w:t>
            </w:r>
          </w:p>
        </w:tc>
        <w:tc>
          <w:tcPr>
            <w:tcW w:w="851" w:type="dxa"/>
            <w:vAlign w:val="center"/>
          </w:tcPr>
          <w:p w:rsidR="00825D18" w:rsidRPr="00674D9B" w:rsidRDefault="00825D18" w:rsidP="00825D18">
            <w:pPr>
              <w:jc w:val="right"/>
              <w:rPr>
                <w:b/>
                <w:sz w:val="16"/>
              </w:rPr>
            </w:pPr>
            <w:r w:rsidRPr="00674D9B">
              <w:rPr>
                <w:b/>
                <w:sz w:val="16"/>
              </w:rPr>
              <w:t xml:space="preserve">824.6 </w:t>
            </w:r>
          </w:p>
        </w:tc>
        <w:tc>
          <w:tcPr>
            <w:tcW w:w="937" w:type="dxa"/>
            <w:vAlign w:val="center"/>
          </w:tcPr>
          <w:p w:rsidR="00825D18" w:rsidRPr="00674D9B" w:rsidRDefault="00825D18" w:rsidP="00825D18">
            <w:pPr>
              <w:jc w:val="right"/>
              <w:rPr>
                <w:b/>
                <w:sz w:val="16"/>
              </w:rPr>
            </w:pPr>
            <w:r w:rsidRPr="00674D9B">
              <w:rPr>
                <w:b/>
                <w:color w:val="FF0000"/>
                <w:sz w:val="16"/>
              </w:rPr>
              <w:t>-824.6</w:t>
            </w:r>
            <w:r w:rsidRPr="00674D9B">
              <w:rPr>
                <w:b/>
                <w:sz w:val="16"/>
              </w:rPr>
              <w:t xml:space="preserve"> </w:t>
            </w:r>
          </w:p>
        </w:tc>
        <w:tc>
          <w:tcPr>
            <w:tcW w:w="790" w:type="dxa"/>
            <w:vAlign w:val="center"/>
          </w:tcPr>
          <w:p w:rsidR="00825D18" w:rsidRPr="00674D9B" w:rsidRDefault="00825D18" w:rsidP="00825D18">
            <w:pPr>
              <w:jc w:val="right"/>
              <w:rPr>
                <w:b/>
                <w:sz w:val="16"/>
              </w:rPr>
            </w:pPr>
            <w:r w:rsidRPr="00674D9B">
              <w:rPr>
                <w:b/>
                <w:sz w:val="16"/>
              </w:rPr>
              <w:t xml:space="preserve">0.0 </w:t>
            </w:r>
          </w:p>
        </w:tc>
      </w:tr>
    </w:tbl>
    <w:p w:rsidR="00390FB2" w:rsidRDefault="00390FB2" w:rsidP="00654419">
      <w:pPr>
        <w:jc w:val="both"/>
        <w:rPr>
          <w:szCs w:val="24"/>
        </w:rPr>
      </w:pPr>
    </w:p>
    <w:p w:rsidR="00F70D05" w:rsidRDefault="00F70D05" w:rsidP="00654419">
      <w:pPr>
        <w:jc w:val="center"/>
        <w:rPr>
          <w:b/>
          <w:szCs w:val="24"/>
        </w:rPr>
      </w:pPr>
      <w:bookmarkStart w:id="0" w:name="_GoBack"/>
      <w:bookmarkEnd w:id="0"/>
    </w:p>
    <w:sectPr w:rsidR="00F70D05" w:rsidSect="00654419">
      <w:pgSz w:w="11906" w:h="16838"/>
      <w:pgMar w:top="426" w:right="850"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6BED"/>
    <w:multiLevelType w:val="hybridMultilevel"/>
    <w:tmpl w:val="7D20C802"/>
    <w:lvl w:ilvl="0" w:tplc="04190001">
      <w:start w:val="1"/>
      <w:numFmt w:val="bullet"/>
      <w:lvlText w:val=""/>
      <w:lvlJc w:val="left"/>
      <w:pPr>
        <w:ind w:left="1429" w:hanging="360"/>
      </w:pPr>
      <w:rPr>
        <w:rFonts w:ascii="Symbol" w:hAnsi="Symbol" w:hint="default"/>
      </w:rPr>
    </w:lvl>
    <w:lvl w:ilvl="1" w:tplc="04190005">
      <w:start w:val="1"/>
      <w:numFmt w:val="bullet"/>
      <w:lvlText w:val=""/>
      <w:lvlJc w:val="left"/>
      <w:pPr>
        <w:ind w:left="1070"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42400F"/>
    <w:multiLevelType w:val="hybridMultilevel"/>
    <w:tmpl w:val="C504A26C"/>
    <w:lvl w:ilvl="0" w:tplc="96A013B8">
      <w:start w:val="1"/>
      <w:numFmt w:val="bullet"/>
      <w:lvlText w:val="-"/>
      <w:lvlJc w:val="left"/>
      <w:pPr>
        <w:ind w:left="405" w:hanging="360"/>
      </w:pPr>
      <w:rPr>
        <w:rFonts w:ascii="Times New Roman" w:eastAsia="Times New Roman" w:hAnsi="Times New Roman" w:cs="Times New Roman" w:hint="default"/>
      </w:rPr>
    </w:lvl>
    <w:lvl w:ilvl="1" w:tplc="04190003" w:tentative="1">
      <w:start w:val="1"/>
      <w:numFmt w:val="bullet"/>
      <w:pStyle w:val="2"/>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2">
    <w:nsid w:val="112871EA"/>
    <w:multiLevelType w:val="hybridMultilevel"/>
    <w:tmpl w:val="D264DDEC"/>
    <w:lvl w:ilvl="0" w:tplc="04190005">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1FA23F4E"/>
    <w:multiLevelType w:val="hybridMultilevel"/>
    <w:tmpl w:val="24D41B8A"/>
    <w:lvl w:ilvl="0" w:tplc="A61A9C48">
      <w:numFmt w:val="bullet"/>
      <w:lvlText w:val="-"/>
      <w:lvlJc w:val="left"/>
      <w:pPr>
        <w:ind w:left="1069" w:hanging="360"/>
      </w:pPr>
      <w:rPr>
        <w:rFonts w:ascii="Times New Roman" w:eastAsia="Times New Roman" w:hAnsi="Times New Roman" w:cs="Times New Roman" w:hint="default"/>
        <w:b w:val="0"/>
        <w:color w:val="auto"/>
        <w:sz w:val="24"/>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306002B9"/>
    <w:multiLevelType w:val="hybridMultilevel"/>
    <w:tmpl w:val="5D0AABC8"/>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5">
    <w:nsid w:val="4C6E5A75"/>
    <w:multiLevelType w:val="hybridMultilevel"/>
    <w:tmpl w:val="9E82898A"/>
    <w:lvl w:ilvl="0" w:tplc="67082ABC">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690C34D7"/>
    <w:multiLevelType w:val="hybridMultilevel"/>
    <w:tmpl w:val="F3E2C7B8"/>
    <w:lvl w:ilvl="0" w:tplc="543862A0">
      <w:start w:val="1"/>
      <w:numFmt w:val="decimal"/>
      <w:lvlText w:val="%1."/>
      <w:lvlJc w:val="left"/>
      <w:pPr>
        <w:ind w:left="1068" w:hanging="360"/>
      </w:pPr>
      <w:rPr>
        <w:rFonts w:ascii="Calibri" w:hAnsi="Calibri"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1"/>
  </w:num>
  <w:num w:numId="2">
    <w:abstractNumId w:val="4"/>
  </w:num>
  <w:num w:numId="3">
    <w:abstractNumId w:val="3"/>
  </w:num>
  <w:num w:numId="4">
    <w:abstractNumId w:val="6"/>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80C"/>
    <w:rsid w:val="000630D3"/>
    <w:rsid w:val="00142313"/>
    <w:rsid w:val="00147DC8"/>
    <w:rsid w:val="001B43B4"/>
    <w:rsid w:val="001C6E49"/>
    <w:rsid w:val="001D4658"/>
    <w:rsid w:val="001E0BAD"/>
    <w:rsid w:val="001F5A54"/>
    <w:rsid w:val="00242E4A"/>
    <w:rsid w:val="002702DA"/>
    <w:rsid w:val="00282969"/>
    <w:rsid w:val="002855BE"/>
    <w:rsid w:val="002F5F42"/>
    <w:rsid w:val="003250BF"/>
    <w:rsid w:val="003259CE"/>
    <w:rsid w:val="003646DB"/>
    <w:rsid w:val="00390FB2"/>
    <w:rsid w:val="003B54A1"/>
    <w:rsid w:val="003C3E5B"/>
    <w:rsid w:val="003D1700"/>
    <w:rsid w:val="0040602C"/>
    <w:rsid w:val="004129C0"/>
    <w:rsid w:val="00416D46"/>
    <w:rsid w:val="0042061B"/>
    <w:rsid w:val="0044047A"/>
    <w:rsid w:val="0047181F"/>
    <w:rsid w:val="00480CDF"/>
    <w:rsid w:val="004814D6"/>
    <w:rsid w:val="00495FD6"/>
    <w:rsid w:val="004C3B7A"/>
    <w:rsid w:val="004F40A9"/>
    <w:rsid w:val="005159D3"/>
    <w:rsid w:val="00516F8F"/>
    <w:rsid w:val="00535E00"/>
    <w:rsid w:val="00536C9B"/>
    <w:rsid w:val="00554279"/>
    <w:rsid w:val="006207B1"/>
    <w:rsid w:val="006511B8"/>
    <w:rsid w:val="00654419"/>
    <w:rsid w:val="00674D9B"/>
    <w:rsid w:val="00696A6E"/>
    <w:rsid w:val="006B6CDD"/>
    <w:rsid w:val="006E3A64"/>
    <w:rsid w:val="006F685A"/>
    <w:rsid w:val="0072306B"/>
    <w:rsid w:val="007366B6"/>
    <w:rsid w:val="00761235"/>
    <w:rsid w:val="0077070D"/>
    <w:rsid w:val="00774319"/>
    <w:rsid w:val="0078234C"/>
    <w:rsid w:val="00782610"/>
    <w:rsid w:val="0079320D"/>
    <w:rsid w:val="00796FBF"/>
    <w:rsid w:val="007A03A4"/>
    <w:rsid w:val="007E4866"/>
    <w:rsid w:val="007E4F3B"/>
    <w:rsid w:val="00825D18"/>
    <w:rsid w:val="008564BE"/>
    <w:rsid w:val="008A428A"/>
    <w:rsid w:val="008C50B2"/>
    <w:rsid w:val="008C5C6B"/>
    <w:rsid w:val="00924496"/>
    <w:rsid w:val="00931880"/>
    <w:rsid w:val="0095513D"/>
    <w:rsid w:val="00960F21"/>
    <w:rsid w:val="00977BE9"/>
    <w:rsid w:val="00986AC9"/>
    <w:rsid w:val="00A74BEC"/>
    <w:rsid w:val="00AC27A1"/>
    <w:rsid w:val="00AF3C29"/>
    <w:rsid w:val="00B07D66"/>
    <w:rsid w:val="00B15996"/>
    <w:rsid w:val="00B9608A"/>
    <w:rsid w:val="00BB473D"/>
    <w:rsid w:val="00BB6F69"/>
    <w:rsid w:val="00C053ED"/>
    <w:rsid w:val="00C201E5"/>
    <w:rsid w:val="00C33200"/>
    <w:rsid w:val="00C75701"/>
    <w:rsid w:val="00C8667C"/>
    <w:rsid w:val="00C96C6E"/>
    <w:rsid w:val="00CA4762"/>
    <w:rsid w:val="00CC7A88"/>
    <w:rsid w:val="00D0180C"/>
    <w:rsid w:val="00D705D9"/>
    <w:rsid w:val="00D83F2F"/>
    <w:rsid w:val="00D90A39"/>
    <w:rsid w:val="00D968BB"/>
    <w:rsid w:val="00DC1D75"/>
    <w:rsid w:val="00DD11B0"/>
    <w:rsid w:val="00DE7394"/>
    <w:rsid w:val="00F443CD"/>
    <w:rsid w:val="00F450F0"/>
    <w:rsid w:val="00F70D05"/>
    <w:rsid w:val="00F70D2D"/>
    <w:rsid w:val="00FB1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319"/>
    <w:pPr>
      <w:spacing w:after="0" w:line="240" w:lineRule="auto"/>
    </w:pPr>
    <w:rPr>
      <w:rFonts w:ascii="Times New Roman" w:eastAsia="Times New Roman" w:hAnsi="Times New Roman" w:cs="Times New Roman"/>
      <w:sz w:val="24"/>
      <w:szCs w:val="20"/>
      <w:lang w:val="uk-UA" w:eastAsia="ru-RU"/>
    </w:rPr>
  </w:style>
  <w:style w:type="paragraph" w:styleId="2">
    <w:name w:val="heading 2"/>
    <w:basedOn w:val="a"/>
    <w:next w:val="a"/>
    <w:link w:val="20"/>
    <w:qFormat/>
    <w:rsid w:val="0040602C"/>
    <w:pPr>
      <w:keepNext/>
      <w:numPr>
        <w:ilvl w:val="1"/>
        <w:numId w:val="1"/>
      </w:numPr>
      <w:suppressAutoHyphens/>
      <w:spacing w:before="240" w:after="60"/>
      <w:outlineLvl w:val="1"/>
    </w:pPr>
    <w:rPr>
      <w:rFonts w:ascii="Cambria" w:hAnsi="Cambria"/>
      <w:b/>
      <w:bCs/>
      <w:i/>
      <w:iCs/>
      <w:sz w:val="28"/>
      <w:szCs w:val="28"/>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774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a0"/>
    <w:link w:val="HTML"/>
    <w:uiPriority w:val="99"/>
    <w:rsid w:val="00774319"/>
    <w:rPr>
      <w:rFonts w:ascii="Courier New" w:eastAsia="Times New Roman" w:hAnsi="Courier New" w:cs="Times New Roman"/>
      <w:sz w:val="20"/>
      <w:szCs w:val="20"/>
      <w:lang w:val="uk-UA" w:eastAsia="ru-RU"/>
    </w:rPr>
  </w:style>
  <w:style w:type="paragraph" w:styleId="a3">
    <w:name w:val="Balloon Text"/>
    <w:basedOn w:val="a"/>
    <w:link w:val="a4"/>
    <w:uiPriority w:val="99"/>
    <w:semiHidden/>
    <w:unhideWhenUsed/>
    <w:rsid w:val="00554279"/>
    <w:rPr>
      <w:rFonts w:ascii="Segoe UI" w:hAnsi="Segoe UI" w:cs="Segoe UI"/>
      <w:sz w:val="18"/>
      <w:szCs w:val="18"/>
    </w:rPr>
  </w:style>
  <w:style w:type="character" w:customStyle="1" w:styleId="a4">
    <w:name w:val="Текст выноски Знак"/>
    <w:basedOn w:val="a0"/>
    <w:link w:val="a3"/>
    <w:uiPriority w:val="99"/>
    <w:semiHidden/>
    <w:rsid w:val="00554279"/>
    <w:rPr>
      <w:rFonts w:ascii="Segoe UI" w:eastAsia="Times New Roman" w:hAnsi="Segoe UI" w:cs="Segoe UI"/>
      <w:sz w:val="18"/>
      <w:szCs w:val="18"/>
      <w:lang w:val="uk-UA" w:eastAsia="ru-RU"/>
    </w:rPr>
  </w:style>
  <w:style w:type="table" w:styleId="a5">
    <w:name w:val="Table Grid"/>
    <w:basedOn w:val="a1"/>
    <w:uiPriority w:val="39"/>
    <w:rsid w:val="008C5C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2855BE"/>
    <w:pPr>
      <w:ind w:left="720"/>
      <w:contextualSpacing/>
    </w:pPr>
  </w:style>
  <w:style w:type="character" w:styleId="a7">
    <w:name w:val="Hyperlink"/>
    <w:uiPriority w:val="99"/>
    <w:unhideWhenUsed/>
    <w:rsid w:val="005159D3"/>
    <w:rPr>
      <w:color w:val="0000FF"/>
      <w:u w:val="single"/>
    </w:rPr>
  </w:style>
  <w:style w:type="paragraph" w:styleId="a8">
    <w:name w:val="Normal (Web)"/>
    <w:basedOn w:val="a"/>
    <w:uiPriority w:val="99"/>
    <w:unhideWhenUsed/>
    <w:rsid w:val="005159D3"/>
    <w:pPr>
      <w:spacing w:before="100" w:beforeAutospacing="1" w:after="100" w:afterAutospacing="1"/>
    </w:pPr>
    <w:rPr>
      <w:szCs w:val="24"/>
      <w:lang w:val="ru-RU"/>
    </w:rPr>
  </w:style>
  <w:style w:type="character" w:customStyle="1" w:styleId="20">
    <w:name w:val="Заголовок 2 Знак"/>
    <w:basedOn w:val="a0"/>
    <w:link w:val="2"/>
    <w:rsid w:val="0040602C"/>
    <w:rPr>
      <w:rFonts w:ascii="Cambria" w:eastAsia="Times New Roman" w:hAnsi="Cambria" w:cs="Times New Roman"/>
      <w:b/>
      <w:bCs/>
      <w:i/>
      <w:iCs/>
      <w:sz w:val="28"/>
      <w:szCs w:val="28"/>
      <w:lang w:eastAsia="ar-SA"/>
    </w:rPr>
  </w:style>
  <w:style w:type="paragraph" w:styleId="21">
    <w:name w:val="Body Text Indent 2"/>
    <w:basedOn w:val="a"/>
    <w:link w:val="22"/>
    <w:rsid w:val="0040602C"/>
    <w:pPr>
      <w:widowControl w:val="0"/>
      <w:autoSpaceDE w:val="0"/>
      <w:autoSpaceDN w:val="0"/>
      <w:adjustRightInd w:val="0"/>
      <w:spacing w:after="120" w:line="480" w:lineRule="auto"/>
      <w:ind w:left="283"/>
    </w:pPr>
    <w:rPr>
      <w:sz w:val="20"/>
      <w:lang w:val="x-none" w:eastAsia="x-none"/>
    </w:rPr>
  </w:style>
  <w:style w:type="character" w:customStyle="1" w:styleId="22">
    <w:name w:val="Основной текст с отступом 2 Знак"/>
    <w:basedOn w:val="a0"/>
    <w:link w:val="21"/>
    <w:rsid w:val="0040602C"/>
    <w:rPr>
      <w:rFonts w:ascii="Times New Roman" w:eastAsia="Times New Roman" w:hAnsi="Times New Roman" w:cs="Times New Roman"/>
      <w:sz w:val="20"/>
      <w:szCs w:val="20"/>
      <w:lang w:val="x-none" w:eastAsia="x-none"/>
    </w:rPr>
  </w:style>
  <w:style w:type="paragraph" w:styleId="a9">
    <w:name w:val="Body Text"/>
    <w:basedOn w:val="a"/>
    <w:link w:val="aa"/>
    <w:uiPriority w:val="99"/>
    <w:semiHidden/>
    <w:unhideWhenUsed/>
    <w:rsid w:val="0040602C"/>
    <w:pPr>
      <w:spacing w:after="120" w:line="276" w:lineRule="auto"/>
    </w:pPr>
    <w:rPr>
      <w:rFonts w:ascii="Calibri" w:eastAsia="Calibri" w:hAnsi="Calibri"/>
      <w:sz w:val="22"/>
      <w:szCs w:val="22"/>
      <w:lang w:eastAsia="en-US"/>
    </w:rPr>
  </w:style>
  <w:style w:type="character" w:customStyle="1" w:styleId="aa">
    <w:name w:val="Основной текст Знак"/>
    <w:basedOn w:val="a0"/>
    <w:link w:val="a9"/>
    <w:uiPriority w:val="99"/>
    <w:semiHidden/>
    <w:rsid w:val="0040602C"/>
    <w:rPr>
      <w:rFonts w:ascii="Calibri" w:eastAsia="Calibri" w:hAnsi="Calibri" w:cs="Times New Roman"/>
      <w:lang w:val="uk-UA"/>
    </w:rPr>
  </w:style>
  <w:style w:type="character" w:customStyle="1" w:styleId="rvts9">
    <w:name w:val="rvts9"/>
    <w:basedOn w:val="a0"/>
    <w:rsid w:val="000630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319"/>
    <w:pPr>
      <w:spacing w:after="0" w:line="240" w:lineRule="auto"/>
    </w:pPr>
    <w:rPr>
      <w:rFonts w:ascii="Times New Roman" w:eastAsia="Times New Roman" w:hAnsi="Times New Roman" w:cs="Times New Roman"/>
      <w:sz w:val="24"/>
      <w:szCs w:val="20"/>
      <w:lang w:val="uk-UA" w:eastAsia="ru-RU"/>
    </w:rPr>
  </w:style>
  <w:style w:type="paragraph" w:styleId="2">
    <w:name w:val="heading 2"/>
    <w:basedOn w:val="a"/>
    <w:next w:val="a"/>
    <w:link w:val="20"/>
    <w:qFormat/>
    <w:rsid w:val="0040602C"/>
    <w:pPr>
      <w:keepNext/>
      <w:numPr>
        <w:ilvl w:val="1"/>
        <w:numId w:val="1"/>
      </w:numPr>
      <w:suppressAutoHyphens/>
      <w:spacing w:before="240" w:after="60"/>
      <w:outlineLvl w:val="1"/>
    </w:pPr>
    <w:rPr>
      <w:rFonts w:ascii="Cambria" w:hAnsi="Cambria"/>
      <w:b/>
      <w:bCs/>
      <w:i/>
      <w:iCs/>
      <w:sz w:val="28"/>
      <w:szCs w:val="28"/>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774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a0"/>
    <w:link w:val="HTML"/>
    <w:uiPriority w:val="99"/>
    <w:rsid w:val="00774319"/>
    <w:rPr>
      <w:rFonts w:ascii="Courier New" w:eastAsia="Times New Roman" w:hAnsi="Courier New" w:cs="Times New Roman"/>
      <w:sz w:val="20"/>
      <w:szCs w:val="20"/>
      <w:lang w:val="uk-UA" w:eastAsia="ru-RU"/>
    </w:rPr>
  </w:style>
  <w:style w:type="paragraph" w:styleId="a3">
    <w:name w:val="Balloon Text"/>
    <w:basedOn w:val="a"/>
    <w:link w:val="a4"/>
    <w:uiPriority w:val="99"/>
    <w:semiHidden/>
    <w:unhideWhenUsed/>
    <w:rsid w:val="00554279"/>
    <w:rPr>
      <w:rFonts w:ascii="Segoe UI" w:hAnsi="Segoe UI" w:cs="Segoe UI"/>
      <w:sz w:val="18"/>
      <w:szCs w:val="18"/>
    </w:rPr>
  </w:style>
  <w:style w:type="character" w:customStyle="1" w:styleId="a4">
    <w:name w:val="Текст выноски Знак"/>
    <w:basedOn w:val="a0"/>
    <w:link w:val="a3"/>
    <w:uiPriority w:val="99"/>
    <w:semiHidden/>
    <w:rsid w:val="00554279"/>
    <w:rPr>
      <w:rFonts w:ascii="Segoe UI" w:eastAsia="Times New Roman" w:hAnsi="Segoe UI" w:cs="Segoe UI"/>
      <w:sz w:val="18"/>
      <w:szCs w:val="18"/>
      <w:lang w:val="uk-UA" w:eastAsia="ru-RU"/>
    </w:rPr>
  </w:style>
  <w:style w:type="table" w:styleId="a5">
    <w:name w:val="Table Grid"/>
    <w:basedOn w:val="a1"/>
    <w:uiPriority w:val="39"/>
    <w:rsid w:val="008C5C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2855BE"/>
    <w:pPr>
      <w:ind w:left="720"/>
      <w:contextualSpacing/>
    </w:pPr>
  </w:style>
  <w:style w:type="character" w:styleId="a7">
    <w:name w:val="Hyperlink"/>
    <w:uiPriority w:val="99"/>
    <w:unhideWhenUsed/>
    <w:rsid w:val="005159D3"/>
    <w:rPr>
      <w:color w:val="0000FF"/>
      <w:u w:val="single"/>
    </w:rPr>
  </w:style>
  <w:style w:type="paragraph" w:styleId="a8">
    <w:name w:val="Normal (Web)"/>
    <w:basedOn w:val="a"/>
    <w:uiPriority w:val="99"/>
    <w:unhideWhenUsed/>
    <w:rsid w:val="005159D3"/>
    <w:pPr>
      <w:spacing w:before="100" w:beforeAutospacing="1" w:after="100" w:afterAutospacing="1"/>
    </w:pPr>
    <w:rPr>
      <w:szCs w:val="24"/>
      <w:lang w:val="ru-RU"/>
    </w:rPr>
  </w:style>
  <w:style w:type="character" w:customStyle="1" w:styleId="20">
    <w:name w:val="Заголовок 2 Знак"/>
    <w:basedOn w:val="a0"/>
    <w:link w:val="2"/>
    <w:rsid w:val="0040602C"/>
    <w:rPr>
      <w:rFonts w:ascii="Cambria" w:eastAsia="Times New Roman" w:hAnsi="Cambria" w:cs="Times New Roman"/>
      <w:b/>
      <w:bCs/>
      <w:i/>
      <w:iCs/>
      <w:sz w:val="28"/>
      <w:szCs w:val="28"/>
      <w:lang w:eastAsia="ar-SA"/>
    </w:rPr>
  </w:style>
  <w:style w:type="paragraph" w:styleId="21">
    <w:name w:val="Body Text Indent 2"/>
    <w:basedOn w:val="a"/>
    <w:link w:val="22"/>
    <w:rsid w:val="0040602C"/>
    <w:pPr>
      <w:widowControl w:val="0"/>
      <w:autoSpaceDE w:val="0"/>
      <w:autoSpaceDN w:val="0"/>
      <w:adjustRightInd w:val="0"/>
      <w:spacing w:after="120" w:line="480" w:lineRule="auto"/>
      <w:ind w:left="283"/>
    </w:pPr>
    <w:rPr>
      <w:sz w:val="20"/>
      <w:lang w:val="x-none" w:eastAsia="x-none"/>
    </w:rPr>
  </w:style>
  <w:style w:type="character" w:customStyle="1" w:styleId="22">
    <w:name w:val="Основной текст с отступом 2 Знак"/>
    <w:basedOn w:val="a0"/>
    <w:link w:val="21"/>
    <w:rsid w:val="0040602C"/>
    <w:rPr>
      <w:rFonts w:ascii="Times New Roman" w:eastAsia="Times New Roman" w:hAnsi="Times New Roman" w:cs="Times New Roman"/>
      <w:sz w:val="20"/>
      <w:szCs w:val="20"/>
      <w:lang w:val="x-none" w:eastAsia="x-none"/>
    </w:rPr>
  </w:style>
  <w:style w:type="paragraph" w:styleId="a9">
    <w:name w:val="Body Text"/>
    <w:basedOn w:val="a"/>
    <w:link w:val="aa"/>
    <w:uiPriority w:val="99"/>
    <w:semiHidden/>
    <w:unhideWhenUsed/>
    <w:rsid w:val="0040602C"/>
    <w:pPr>
      <w:spacing w:after="120" w:line="276" w:lineRule="auto"/>
    </w:pPr>
    <w:rPr>
      <w:rFonts w:ascii="Calibri" w:eastAsia="Calibri" w:hAnsi="Calibri"/>
      <w:sz w:val="22"/>
      <w:szCs w:val="22"/>
      <w:lang w:eastAsia="en-US"/>
    </w:rPr>
  </w:style>
  <w:style w:type="character" w:customStyle="1" w:styleId="aa">
    <w:name w:val="Основной текст Знак"/>
    <w:basedOn w:val="a0"/>
    <w:link w:val="a9"/>
    <w:uiPriority w:val="99"/>
    <w:semiHidden/>
    <w:rsid w:val="0040602C"/>
    <w:rPr>
      <w:rFonts w:ascii="Calibri" w:eastAsia="Calibri" w:hAnsi="Calibri" w:cs="Times New Roman"/>
      <w:lang w:val="uk-UA"/>
    </w:rPr>
  </w:style>
  <w:style w:type="character" w:customStyle="1" w:styleId="rvts9">
    <w:name w:val="rvts9"/>
    <w:basedOn w:val="a0"/>
    <w:rsid w:val="00063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937097">
      <w:bodyDiv w:val="1"/>
      <w:marLeft w:val="0"/>
      <w:marRight w:val="0"/>
      <w:marTop w:val="0"/>
      <w:marBottom w:val="0"/>
      <w:divBdr>
        <w:top w:val="none" w:sz="0" w:space="0" w:color="auto"/>
        <w:left w:val="none" w:sz="0" w:space="0" w:color="auto"/>
        <w:bottom w:val="none" w:sz="0" w:space="0" w:color="auto"/>
        <w:right w:val="none" w:sz="0" w:space="0" w:color="auto"/>
      </w:divBdr>
    </w:div>
    <w:div w:id="182007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609</Words>
  <Characters>3476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VynohradovaYuV</cp:lastModifiedBy>
  <cp:revision>6</cp:revision>
  <cp:lastPrinted>2019-06-19T08:43:00Z</cp:lastPrinted>
  <dcterms:created xsi:type="dcterms:W3CDTF">2019-06-19T08:58:00Z</dcterms:created>
  <dcterms:modified xsi:type="dcterms:W3CDTF">2019-06-19T10:21:00Z</dcterms:modified>
</cp:coreProperties>
</file>