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F2" w:rsidRDefault="00D41CF2" w:rsidP="0077013B">
      <w:pPr>
        <w:pStyle w:val="a9"/>
        <w:spacing w:after="0" w:line="240" w:lineRule="auto"/>
        <w:ind w:firstLine="709"/>
        <w:jc w:val="center"/>
        <w:rPr>
          <w:rStyle w:val="a3"/>
          <w:lang w:val="en-US"/>
        </w:rPr>
      </w:pPr>
    </w:p>
    <w:p w:rsidR="00C60126" w:rsidRDefault="00AC1FBB" w:rsidP="0077013B">
      <w:pPr>
        <w:pStyle w:val="a9"/>
        <w:spacing w:after="0" w:line="240" w:lineRule="auto"/>
        <w:ind w:firstLine="709"/>
        <w:jc w:val="center"/>
        <w:rPr>
          <w:rStyle w:val="a3"/>
        </w:rPr>
      </w:pPr>
      <w:r w:rsidRPr="00D41CF2">
        <w:rPr>
          <w:rStyle w:val="a3"/>
        </w:rPr>
        <w:t xml:space="preserve">Обґрунтування щодо необхідності схвалення </w:t>
      </w:r>
    </w:p>
    <w:p w:rsidR="00875EDA" w:rsidRPr="00D41CF2" w:rsidRDefault="00621B5B" w:rsidP="0077013B">
      <w:pPr>
        <w:pStyle w:val="a9"/>
        <w:spacing w:after="0" w:line="240" w:lineRule="auto"/>
        <w:ind w:firstLine="709"/>
        <w:jc w:val="center"/>
        <w:rPr>
          <w:rStyle w:val="a3"/>
        </w:rPr>
      </w:pPr>
      <w:r w:rsidRPr="00D41CF2">
        <w:rPr>
          <w:rStyle w:val="a3"/>
        </w:rPr>
        <w:t>І</w:t>
      </w:r>
      <w:r w:rsidR="00875EDA" w:rsidRPr="00D41CF2">
        <w:rPr>
          <w:rStyle w:val="a3"/>
        </w:rPr>
        <w:t>нвестиційн</w:t>
      </w:r>
      <w:r w:rsidR="00AC1FBB" w:rsidRPr="00D41CF2">
        <w:rPr>
          <w:rStyle w:val="a3"/>
        </w:rPr>
        <w:t>ої</w:t>
      </w:r>
      <w:r w:rsidR="00875EDA" w:rsidRPr="00D41CF2">
        <w:rPr>
          <w:rStyle w:val="a3"/>
        </w:rPr>
        <w:t xml:space="preserve"> програм</w:t>
      </w:r>
      <w:r w:rsidR="00AC1FBB" w:rsidRPr="00D41CF2">
        <w:rPr>
          <w:rStyle w:val="a3"/>
        </w:rPr>
        <w:t>и</w:t>
      </w:r>
      <w:r w:rsidR="00875EDA" w:rsidRPr="00D41CF2">
        <w:rPr>
          <w:rStyle w:val="a3"/>
        </w:rPr>
        <w:t xml:space="preserve"> </w:t>
      </w:r>
      <w:r w:rsidR="00AC1FBB" w:rsidRPr="00D41CF2">
        <w:rPr>
          <w:rStyle w:val="a3"/>
        </w:rPr>
        <w:t xml:space="preserve">ТОВ ФІРМА «ТЕХНОВА» </w:t>
      </w:r>
    </w:p>
    <w:p w:rsidR="00806635" w:rsidRPr="00D41CF2" w:rsidRDefault="00806635" w:rsidP="0037390C">
      <w:pPr>
        <w:pStyle w:val="a9"/>
        <w:spacing w:after="0" w:line="240" w:lineRule="auto"/>
        <w:ind w:firstLine="567"/>
        <w:jc w:val="center"/>
      </w:pPr>
    </w:p>
    <w:p w:rsidR="00E74B78" w:rsidRPr="00D41CF2" w:rsidRDefault="0037390C" w:rsidP="00E74B7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D41CF2">
        <w:rPr>
          <w:rFonts w:ascii="Times New Roman" w:eastAsia="Times New Roman" w:hAnsi="Times New Roman" w:cs="Times New Roman"/>
          <w:lang w:eastAsia="uk-UA"/>
        </w:rPr>
        <w:t xml:space="preserve">Згідно </w:t>
      </w:r>
      <w:r w:rsidR="00E74B78" w:rsidRPr="00D41CF2">
        <w:rPr>
          <w:rFonts w:ascii="Times New Roman" w:eastAsia="Times New Roman" w:hAnsi="Times New Roman" w:cs="Times New Roman"/>
          <w:lang w:eastAsia="uk-UA"/>
        </w:rPr>
        <w:t xml:space="preserve">постанови </w:t>
      </w:r>
      <w:r w:rsidRPr="00D41CF2">
        <w:rPr>
          <w:rFonts w:ascii="Times New Roman" w:eastAsia="Times New Roman" w:hAnsi="Times New Roman" w:cs="Times New Roman"/>
          <w:lang w:eastAsia="uk-UA"/>
        </w:rPr>
        <w:t>НКРЕКП №</w:t>
      </w:r>
      <w:r w:rsidR="00E74B78" w:rsidRPr="00D41CF2">
        <w:rPr>
          <w:rFonts w:ascii="Times New Roman" w:eastAsia="Times New Roman" w:hAnsi="Times New Roman" w:cs="Times New Roman"/>
          <w:lang w:eastAsia="uk-UA"/>
        </w:rPr>
        <w:t xml:space="preserve"> 2542 </w:t>
      </w:r>
      <w:r w:rsidRPr="00D41CF2">
        <w:rPr>
          <w:rFonts w:ascii="Times New Roman" w:eastAsia="Times New Roman" w:hAnsi="Times New Roman" w:cs="Times New Roman"/>
          <w:lang w:eastAsia="uk-UA"/>
        </w:rPr>
        <w:t xml:space="preserve">від 26.11.2019 </w:t>
      </w:r>
      <w:r w:rsidR="00E74B78" w:rsidRPr="00D41CF2">
        <w:rPr>
          <w:rFonts w:ascii="Times New Roman" w:eastAsia="Times New Roman" w:hAnsi="Times New Roman" w:cs="Times New Roman"/>
          <w:lang w:eastAsia="uk-UA"/>
        </w:rPr>
        <w:t>«Про накладення штрафу на ТОВ ФІРМА «ТЕХНОВА» за порушення Ліцензійних умов з виробництва, Ліцензійних умов з транспортування, Ліцензійних умов з постачання теплової енергії, необхідність усунення порушень та здійснення заходів державного регулювання», зі змінами внесеними постановою НКРЕКП №</w:t>
      </w:r>
      <w:r w:rsidR="00E74B78" w:rsidRPr="00D41CF2">
        <w:t> </w:t>
      </w:r>
      <w:r w:rsidR="00E74B78" w:rsidRPr="00D41CF2">
        <w:rPr>
          <w:rFonts w:ascii="Times New Roman" w:eastAsia="Times New Roman" w:hAnsi="Times New Roman" w:cs="Times New Roman"/>
          <w:lang w:eastAsia="uk-UA"/>
        </w:rPr>
        <w:t>451 від 18.02.2020 «Про внесення змін до постанови Національної комісії, що здійснює державне регулювання у сферах енергетики та комунальних послуг, від 26 листопада 2019 року № 2542», зобов’язано ТОВ ФІРМА «</w:t>
      </w:r>
      <w:r w:rsidRPr="00D41CF2">
        <w:rPr>
          <w:rFonts w:ascii="Times New Roman" w:eastAsia="Times New Roman" w:hAnsi="Times New Roman" w:cs="Times New Roman"/>
          <w:lang w:eastAsia="uk-UA"/>
        </w:rPr>
        <w:t>ТЕХНОВА</w:t>
      </w:r>
      <w:r w:rsidR="00E74B78" w:rsidRPr="00D41CF2">
        <w:rPr>
          <w:rFonts w:ascii="Times New Roman" w:eastAsia="Times New Roman" w:hAnsi="Times New Roman" w:cs="Times New Roman"/>
          <w:lang w:eastAsia="uk-UA"/>
        </w:rPr>
        <w:t>»</w:t>
      </w:r>
      <w:r w:rsidRPr="00D41CF2">
        <w:rPr>
          <w:rFonts w:ascii="Times New Roman" w:eastAsia="Times New Roman" w:hAnsi="Times New Roman" w:cs="Times New Roman"/>
          <w:lang w:eastAsia="uk-UA"/>
        </w:rPr>
        <w:t xml:space="preserve"> у </w:t>
      </w:r>
      <w:r w:rsidR="00E74B78" w:rsidRPr="00D41CF2">
        <w:rPr>
          <w:rFonts w:ascii="Times New Roman" w:eastAsia="Times New Roman" w:hAnsi="Times New Roman" w:cs="Times New Roman"/>
          <w:lang w:eastAsia="uk-UA"/>
        </w:rPr>
        <w:t xml:space="preserve">термін </w:t>
      </w:r>
      <w:r w:rsidRPr="00D41CF2">
        <w:rPr>
          <w:rFonts w:ascii="Times New Roman" w:eastAsia="Times New Roman" w:hAnsi="Times New Roman" w:cs="Times New Roman"/>
          <w:lang w:eastAsia="uk-UA"/>
        </w:rPr>
        <w:t>до 30 березня 2020 року</w:t>
      </w:r>
      <w:r w:rsidR="00E74B78" w:rsidRPr="00D41CF2">
        <w:rPr>
          <w:rFonts w:ascii="Times New Roman" w:eastAsia="Times New Roman" w:hAnsi="Times New Roman" w:cs="Times New Roman"/>
          <w:lang w:eastAsia="uk-UA"/>
        </w:rPr>
        <w:t>:</w:t>
      </w:r>
    </w:p>
    <w:p w:rsidR="00E74B78" w:rsidRPr="00D41CF2" w:rsidRDefault="00E74B78" w:rsidP="00E74B7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D41CF2">
        <w:rPr>
          <w:rFonts w:ascii="Times New Roman" w:eastAsia="Times New Roman" w:hAnsi="Times New Roman" w:cs="Times New Roman"/>
          <w:lang w:eastAsia="uk-UA"/>
        </w:rPr>
        <w:t xml:space="preserve">подати відповідно до вимог Порядку формування інвестиційних програм ліцензіатів з виробництва електричної та теплової енергії на теплоелектроцентралях та </w:t>
      </w:r>
      <w:proofErr w:type="spellStart"/>
      <w:r w:rsidRPr="00D41CF2">
        <w:rPr>
          <w:rFonts w:ascii="Times New Roman" w:eastAsia="Times New Roman" w:hAnsi="Times New Roman" w:cs="Times New Roman"/>
          <w:lang w:eastAsia="uk-UA"/>
        </w:rPr>
        <w:t>когенераційних</w:t>
      </w:r>
      <w:proofErr w:type="spellEnd"/>
      <w:r w:rsidRPr="00D41CF2">
        <w:rPr>
          <w:rFonts w:ascii="Times New Roman" w:eastAsia="Times New Roman" w:hAnsi="Times New Roman" w:cs="Times New Roman"/>
          <w:lang w:eastAsia="uk-UA"/>
        </w:rPr>
        <w:t xml:space="preserve"> установках, затвердженого постановою Національної комісії, що здійснює державне регулювання у сферах енергетики та комунальних послуг, від 15 жовтня 2015 року № 2585, Інвестиційну програму на 2020 рік, якою передбачити як додаткове джерело фінансування економію коштів, отриману при виконанні Інвестиційної програми на 2018 рік, на суму 1 545,79 тис. </w:t>
      </w:r>
      <w:proofErr w:type="spellStart"/>
      <w:r w:rsidRPr="00D41CF2">
        <w:rPr>
          <w:rFonts w:ascii="Times New Roman" w:eastAsia="Times New Roman" w:hAnsi="Times New Roman" w:cs="Times New Roman"/>
          <w:lang w:eastAsia="uk-UA"/>
        </w:rPr>
        <w:t>грн</w:t>
      </w:r>
      <w:proofErr w:type="spellEnd"/>
      <w:r w:rsidRPr="00D41CF2">
        <w:rPr>
          <w:rFonts w:ascii="Times New Roman" w:eastAsia="Times New Roman" w:hAnsi="Times New Roman" w:cs="Times New Roman"/>
          <w:lang w:eastAsia="uk-UA"/>
        </w:rPr>
        <w:t xml:space="preserve"> без ПДВ;</w:t>
      </w:r>
    </w:p>
    <w:p w:rsidR="0037390C" w:rsidRPr="00D41CF2" w:rsidRDefault="00E74B78" w:rsidP="00E74B7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D41CF2">
        <w:rPr>
          <w:rFonts w:ascii="Times New Roman" w:eastAsia="Times New Roman" w:hAnsi="Times New Roman" w:cs="Times New Roman"/>
          <w:lang w:eastAsia="uk-UA"/>
        </w:rPr>
        <w:t xml:space="preserve">розробити та подати на схвалення відповідно до Порядку формування інвестиційних програм ліцензіатів з виробництва електричної та теплової енергії на теплоелектроцентралях та </w:t>
      </w:r>
      <w:proofErr w:type="spellStart"/>
      <w:r w:rsidRPr="00D41CF2">
        <w:rPr>
          <w:rFonts w:ascii="Times New Roman" w:eastAsia="Times New Roman" w:hAnsi="Times New Roman" w:cs="Times New Roman"/>
          <w:lang w:eastAsia="uk-UA"/>
        </w:rPr>
        <w:t>когенераційних</w:t>
      </w:r>
      <w:proofErr w:type="spellEnd"/>
      <w:r w:rsidRPr="00D41CF2">
        <w:rPr>
          <w:rFonts w:ascii="Times New Roman" w:eastAsia="Times New Roman" w:hAnsi="Times New Roman" w:cs="Times New Roman"/>
          <w:lang w:eastAsia="uk-UA"/>
        </w:rPr>
        <w:t xml:space="preserve"> установках, затвердженого постановою Національної комісії, що здійснює державне регулювання у сферах енергетики та комунальних послуг, від 15 жовтня 2015 року № 2585, додаткову інвестиційну програму на 2020 рік на суму додатково отриманого доходу за рахунок зменшення витрат на паливо за 2017 – 2018 роки в сумі 29 902,35 тис. </w:t>
      </w:r>
      <w:proofErr w:type="spellStart"/>
      <w:r w:rsidRPr="00D41CF2">
        <w:rPr>
          <w:rFonts w:ascii="Times New Roman" w:eastAsia="Times New Roman" w:hAnsi="Times New Roman" w:cs="Times New Roman"/>
          <w:lang w:eastAsia="uk-UA"/>
        </w:rPr>
        <w:t>грн</w:t>
      </w:r>
      <w:proofErr w:type="spellEnd"/>
      <w:r w:rsidRPr="00D41CF2">
        <w:rPr>
          <w:rFonts w:ascii="Times New Roman" w:eastAsia="Times New Roman" w:hAnsi="Times New Roman" w:cs="Times New Roman"/>
          <w:lang w:eastAsia="uk-UA"/>
        </w:rPr>
        <w:t xml:space="preserve"> без ПДВ</w:t>
      </w:r>
      <w:r w:rsidR="0037390C" w:rsidRPr="00D41CF2">
        <w:rPr>
          <w:rFonts w:ascii="Times New Roman" w:eastAsia="Times New Roman" w:hAnsi="Times New Roman" w:cs="Times New Roman"/>
          <w:lang w:eastAsia="uk-UA"/>
        </w:rPr>
        <w:t>.</w:t>
      </w:r>
    </w:p>
    <w:p w:rsidR="0077013B" w:rsidRPr="00D41CF2" w:rsidRDefault="00E74B78" w:rsidP="0037390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D41CF2">
        <w:rPr>
          <w:rFonts w:ascii="Times New Roman" w:eastAsia="Times New Roman" w:hAnsi="Times New Roman" w:cs="Times New Roman"/>
          <w:lang w:eastAsia="uk-UA"/>
        </w:rPr>
        <w:t>Ураховуючи викладене,</w:t>
      </w:r>
      <w:r w:rsidR="0077013B" w:rsidRPr="00D41CF2">
        <w:rPr>
          <w:rFonts w:ascii="Times New Roman" w:eastAsia="Times New Roman" w:hAnsi="Times New Roman" w:cs="Times New Roman"/>
          <w:lang w:eastAsia="uk-UA"/>
        </w:rPr>
        <w:t xml:space="preserve"> ТОВ ФІРМА «ТЕХНОВА» розроблена </w:t>
      </w:r>
      <w:r w:rsidRPr="00D41CF2">
        <w:rPr>
          <w:rFonts w:ascii="Times New Roman" w:eastAsia="Times New Roman" w:hAnsi="Times New Roman" w:cs="Times New Roman"/>
          <w:lang w:eastAsia="uk-UA"/>
        </w:rPr>
        <w:t>Інвестиційна програма на загальну суму 31 448,14 тис. грн. без ПДВ</w:t>
      </w:r>
      <w:r w:rsidR="0077013B" w:rsidRPr="00D41CF2">
        <w:rPr>
          <w:rFonts w:ascii="Times New Roman" w:eastAsia="Times New Roman" w:hAnsi="Times New Roman" w:cs="Times New Roman"/>
          <w:lang w:eastAsia="uk-UA"/>
        </w:rPr>
        <w:t>.</w:t>
      </w:r>
    </w:p>
    <w:p w:rsidR="0077013B" w:rsidRPr="00D41CF2" w:rsidRDefault="00E74B78" w:rsidP="0037390C">
      <w:pPr>
        <w:widowControl w:val="0"/>
        <w:tabs>
          <w:tab w:val="left" w:pos="709"/>
          <w:tab w:val="left" w:pos="993"/>
          <w:tab w:val="right" w:pos="1020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D41CF2">
        <w:rPr>
          <w:rFonts w:ascii="Times New Roman" w:eastAsia="Times New Roman" w:hAnsi="Times New Roman" w:cs="Times New Roman"/>
          <w:lang w:eastAsia="uk-UA"/>
        </w:rPr>
        <w:t>Довідково</w:t>
      </w:r>
      <w:proofErr w:type="spellEnd"/>
      <w:r w:rsidRPr="00D41CF2">
        <w:rPr>
          <w:rFonts w:ascii="Times New Roman" w:eastAsia="Times New Roman" w:hAnsi="Times New Roman" w:cs="Times New Roman"/>
          <w:lang w:eastAsia="uk-UA"/>
        </w:rPr>
        <w:t xml:space="preserve">: </w:t>
      </w:r>
      <w:r w:rsidR="0077013B" w:rsidRPr="00D41CF2">
        <w:rPr>
          <w:rFonts w:ascii="Times New Roman" w:eastAsia="Times New Roman" w:hAnsi="Times New Roman" w:cs="Times New Roman"/>
          <w:lang w:eastAsia="uk-UA"/>
        </w:rPr>
        <w:t xml:space="preserve">Чернігівська ТЕЦ введена в експлуатацію з 1961 по 1964 роки (перша черга будівництва) у складі 4-х пиловугільних котлів БКЗ-210-140 ПТ і 2-х турбін ПТ-50/60-130-7 потужністю по 50 МВт та у 1974 році (друга черга) у складі парового </w:t>
      </w:r>
      <w:proofErr w:type="spellStart"/>
      <w:r w:rsidR="0077013B" w:rsidRPr="00D41CF2">
        <w:rPr>
          <w:rFonts w:ascii="Times New Roman" w:eastAsia="Times New Roman" w:hAnsi="Times New Roman" w:cs="Times New Roman"/>
          <w:lang w:eastAsia="uk-UA"/>
        </w:rPr>
        <w:t>газомазутного</w:t>
      </w:r>
      <w:proofErr w:type="spellEnd"/>
      <w:r w:rsidR="0077013B" w:rsidRPr="00D41CF2">
        <w:rPr>
          <w:rFonts w:ascii="Times New Roman" w:eastAsia="Times New Roman" w:hAnsi="Times New Roman" w:cs="Times New Roman"/>
          <w:lang w:eastAsia="uk-UA"/>
        </w:rPr>
        <w:t xml:space="preserve"> котла ТГМ-84Б і парової турбіни Т-100/120-130-3 потужністю 110 МВт.</w:t>
      </w:r>
    </w:p>
    <w:p w:rsidR="0077013B" w:rsidRPr="00D41CF2" w:rsidRDefault="0077013B" w:rsidP="0037390C">
      <w:pPr>
        <w:pStyle w:val="a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D41CF2">
        <w:rPr>
          <w:rFonts w:ascii="Times New Roman" w:eastAsia="Times New Roman" w:hAnsi="Times New Roman" w:cs="Times New Roman"/>
          <w:lang w:eastAsia="uk-UA"/>
        </w:rPr>
        <w:t xml:space="preserve">Встановлена електрична потужність – 210 МВт, теплова – 409 </w:t>
      </w:r>
      <w:proofErr w:type="spellStart"/>
      <w:r w:rsidRPr="00D41CF2">
        <w:rPr>
          <w:rFonts w:ascii="Times New Roman" w:eastAsia="Times New Roman" w:hAnsi="Times New Roman" w:cs="Times New Roman"/>
          <w:lang w:eastAsia="uk-UA"/>
        </w:rPr>
        <w:t>Гкал</w:t>
      </w:r>
      <w:proofErr w:type="spellEnd"/>
      <w:r w:rsidRPr="00D41CF2">
        <w:rPr>
          <w:rFonts w:ascii="Times New Roman" w:eastAsia="Times New Roman" w:hAnsi="Times New Roman" w:cs="Times New Roman"/>
          <w:lang w:eastAsia="uk-UA"/>
        </w:rPr>
        <w:t>/год.</w:t>
      </w:r>
    </w:p>
    <w:p w:rsidR="0077013B" w:rsidRPr="00D41CF2" w:rsidRDefault="0077013B" w:rsidP="0037390C">
      <w:pPr>
        <w:pStyle w:val="a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D41CF2">
        <w:rPr>
          <w:rFonts w:ascii="Times New Roman" w:eastAsia="Times New Roman" w:hAnsi="Times New Roman" w:cs="Times New Roman"/>
          <w:lang w:eastAsia="uk-UA"/>
        </w:rPr>
        <w:t>Основним</w:t>
      </w:r>
      <w:r w:rsidR="00D63D3E" w:rsidRPr="00D41CF2">
        <w:rPr>
          <w:rFonts w:ascii="Times New Roman" w:eastAsia="Times New Roman" w:hAnsi="Times New Roman" w:cs="Times New Roman"/>
          <w:lang w:eastAsia="uk-UA"/>
        </w:rPr>
        <w:t xml:space="preserve"> напрямко</w:t>
      </w:r>
      <w:r w:rsidRPr="00D41CF2">
        <w:rPr>
          <w:rFonts w:ascii="Times New Roman" w:eastAsia="Times New Roman" w:hAnsi="Times New Roman" w:cs="Times New Roman"/>
          <w:lang w:eastAsia="uk-UA"/>
        </w:rPr>
        <w:t xml:space="preserve">м </w:t>
      </w:r>
      <w:r w:rsidR="00E74B78" w:rsidRPr="00D41CF2">
        <w:rPr>
          <w:rFonts w:ascii="Times New Roman" w:eastAsia="Times New Roman" w:hAnsi="Times New Roman" w:cs="Times New Roman"/>
          <w:lang w:eastAsia="uk-UA"/>
        </w:rPr>
        <w:t xml:space="preserve">згідно розробленої Інвестиційної програми </w:t>
      </w:r>
      <w:r w:rsidRPr="00D41CF2">
        <w:rPr>
          <w:rFonts w:ascii="Times New Roman" w:eastAsia="Times New Roman" w:hAnsi="Times New Roman" w:cs="Times New Roman"/>
          <w:lang w:eastAsia="uk-UA"/>
        </w:rPr>
        <w:t>є:</w:t>
      </w:r>
    </w:p>
    <w:p w:rsidR="0077013B" w:rsidRPr="00D41CF2" w:rsidRDefault="0077013B" w:rsidP="0037390C">
      <w:pPr>
        <w:pStyle w:val="a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D41CF2">
        <w:rPr>
          <w:rFonts w:ascii="Times New Roman" w:eastAsia="Times New Roman" w:hAnsi="Times New Roman" w:cs="Times New Roman"/>
          <w:b/>
          <w:lang w:eastAsia="uk-UA"/>
        </w:rPr>
        <w:t>- Заміна трансформатору зв‘язку Т-3</w:t>
      </w:r>
      <w:r w:rsidR="00B83E5C" w:rsidRPr="00D41CF2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r w:rsidR="00B83E5C" w:rsidRPr="00D41CF2">
        <w:rPr>
          <w:rFonts w:ascii="Times New Roman" w:eastAsia="Times New Roman" w:hAnsi="Times New Roman" w:cs="Times New Roman"/>
          <w:lang w:eastAsia="uk-UA"/>
        </w:rPr>
        <w:t>для забезпечення безперебійного та надійного виробництва електричної та теплової енергії</w:t>
      </w:r>
      <w:r w:rsidRPr="00D41CF2">
        <w:rPr>
          <w:rFonts w:ascii="Times New Roman" w:eastAsia="Times New Roman" w:hAnsi="Times New Roman" w:cs="Times New Roman"/>
          <w:b/>
          <w:lang w:eastAsia="uk-UA"/>
        </w:rPr>
        <w:t>.</w:t>
      </w:r>
    </w:p>
    <w:p w:rsidR="00895DFD" w:rsidRPr="00D41CF2" w:rsidRDefault="0077013B" w:rsidP="0037390C">
      <w:pPr>
        <w:pStyle w:val="a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D41CF2">
        <w:rPr>
          <w:rFonts w:ascii="Times New Roman" w:eastAsia="Times New Roman" w:hAnsi="Times New Roman" w:cs="Times New Roman"/>
          <w:lang w:eastAsia="uk-UA"/>
        </w:rPr>
        <w:t>Трансформатор зв‘язку був виготовлений та введений в експлуатацію у 1974 році, який постійно експ</w:t>
      </w:r>
      <w:r w:rsidR="00A75827" w:rsidRPr="00D41CF2">
        <w:rPr>
          <w:rFonts w:ascii="Times New Roman" w:eastAsia="Times New Roman" w:hAnsi="Times New Roman" w:cs="Times New Roman"/>
          <w:lang w:eastAsia="uk-UA"/>
        </w:rPr>
        <w:t>луатується з диспетчерським номе</w:t>
      </w:r>
      <w:r w:rsidRPr="00D41CF2">
        <w:rPr>
          <w:rFonts w:ascii="Times New Roman" w:eastAsia="Times New Roman" w:hAnsi="Times New Roman" w:cs="Times New Roman"/>
          <w:lang w:eastAsia="uk-UA"/>
        </w:rPr>
        <w:t>ром Т-3 на Чернігівській ТЕЦ.</w:t>
      </w:r>
      <w:r w:rsidR="00F17C30" w:rsidRPr="00D41CF2">
        <w:rPr>
          <w:rFonts w:ascii="Times New Roman" w:eastAsia="Times New Roman" w:hAnsi="Times New Roman" w:cs="Times New Roman"/>
          <w:lang w:eastAsia="uk-UA"/>
        </w:rPr>
        <w:t xml:space="preserve"> В цілому трансформатор прослужив 46 років, що майже в два рази більше терміну служби</w:t>
      </w:r>
      <w:r w:rsidR="00895DFD" w:rsidRPr="00D41CF2">
        <w:rPr>
          <w:rFonts w:ascii="Times New Roman" w:eastAsia="Times New Roman" w:hAnsi="Times New Roman" w:cs="Times New Roman"/>
          <w:lang w:eastAsia="uk-UA"/>
        </w:rPr>
        <w:t xml:space="preserve"> встановленого </w:t>
      </w:r>
      <w:r w:rsidR="0047226A" w:rsidRPr="00D41CF2">
        <w:rPr>
          <w:rFonts w:ascii="Times New Roman" w:eastAsia="Times New Roman" w:hAnsi="Times New Roman" w:cs="Times New Roman"/>
          <w:lang w:eastAsia="uk-UA"/>
        </w:rPr>
        <w:t>завод</w:t>
      </w:r>
      <w:r w:rsidR="00895DFD" w:rsidRPr="00D41CF2">
        <w:rPr>
          <w:rFonts w:ascii="Times New Roman" w:eastAsia="Times New Roman" w:hAnsi="Times New Roman" w:cs="Times New Roman"/>
          <w:lang w:eastAsia="uk-UA"/>
        </w:rPr>
        <w:t>ом-</w:t>
      </w:r>
      <w:r w:rsidR="0047226A" w:rsidRPr="00D41CF2">
        <w:rPr>
          <w:rFonts w:ascii="Times New Roman" w:eastAsia="Times New Roman" w:hAnsi="Times New Roman" w:cs="Times New Roman"/>
          <w:lang w:eastAsia="uk-UA"/>
        </w:rPr>
        <w:t>виробник</w:t>
      </w:r>
      <w:r w:rsidR="00895DFD" w:rsidRPr="00D41CF2">
        <w:rPr>
          <w:rFonts w:ascii="Times New Roman" w:eastAsia="Times New Roman" w:hAnsi="Times New Roman" w:cs="Times New Roman"/>
          <w:lang w:eastAsia="uk-UA"/>
        </w:rPr>
        <w:t>ом</w:t>
      </w:r>
      <w:r w:rsidR="0047226A" w:rsidRPr="00D41CF2">
        <w:rPr>
          <w:rFonts w:ascii="Times New Roman" w:eastAsia="Times New Roman" w:hAnsi="Times New Roman" w:cs="Times New Roman"/>
          <w:lang w:eastAsia="uk-UA"/>
        </w:rPr>
        <w:t xml:space="preserve">. </w:t>
      </w:r>
    </w:p>
    <w:p w:rsidR="00D63D3E" w:rsidRPr="00D41CF2" w:rsidRDefault="00352CCF" w:rsidP="0037390C">
      <w:pPr>
        <w:pStyle w:val="a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D41CF2">
        <w:rPr>
          <w:rFonts w:ascii="Times New Roman" w:eastAsia="Times New Roman" w:hAnsi="Times New Roman" w:cs="Times New Roman"/>
          <w:lang w:eastAsia="uk-UA"/>
        </w:rPr>
        <w:t>В о</w:t>
      </w:r>
      <w:r w:rsidR="00A75827" w:rsidRPr="00D41CF2">
        <w:rPr>
          <w:rFonts w:ascii="Times New Roman" w:eastAsia="Times New Roman" w:hAnsi="Times New Roman" w:cs="Times New Roman"/>
          <w:lang w:eastAsia="uk-UA"/>
        </w:rPr>
        <w:t xml:space="preserve">станні роки </w:t>
      </w:r>
      <w:r w:rsidRPr="00D41CF2">
        <w:rPr>
          <w:rFonts w:ascii="Times New Roman" w:eastAsia="Times New Roman" w:hAnsi="Times New Roman" w:cs="Times New Roman"/>
          <w:lang w:eastAsia="uk-UA"/>
        </w:rPr>
        <w:t xml:space="preserve">при проведенні аналізів масла </w:t>
      </w:r>
      <w:r w:rsidR="00A75827" w:rsidRPr="00D41CF2">
        <w:rPr>
          <w:rFonts w:ascii="Times New Roman" w:eastAsia="Times New Roman" w:hAnsi="Times New Roman" w:cs="Times New Roman"/>
          <w:lang w:eastAsia="uk-UA"/>
        </w:rPr>
        <w:t xml:space="preserve">в трансформаторі </w:t>
      </w:r>
      <w:r w:rsidRPr="00D41CF2">
        <w:rPr>
          <w:rFonts w:ascii="Times New Roman" w:eastAsia="Times New Roman" w:hAnsi="Times New Roman" w:cs="Times New Roman"/>
          <w:lang w:eastAsia="uk-UA"/>
        </w:rPr>
        <w:t>виявлено</w:t>
      </w:r>
      <w:r w:rsidR="00A75827" w:rsidRPr="00D41CF2">
        <w:rPr>
          <w:rFonts w:ascii="Times New Roman" w:eastAsia="Times New Roman" w:hAnsi="Times New Roman" w:cs="Times New Roman"/>
          <w:lang w:eastAsia="uk-UA"/>
        </w:rPr>
        <w:t xml:space="preserve"> швидке зростання концентрації чадного та вуглекислого газ</w:t>
      </w:r>
      <w:r w:rsidR="00BD3E50" w:rsidRPr="00D41CF2">
        <w:rPr>
          <w:rFonts w:ascii="Times New Roman" w:eastAsia="Times New Roman" w:hAnsi="Times New Roman" w:cs="Times New Roman"/>
          <w:lang w:eastAsia="uk-UA"/>
        </w:rPr>
        <w:t>ів. Це призводить до швидкого руйнування целюлозної ізоляції</w:t>
      </w:r>
      <w:r w:rsidR="00895DFD" w:rsidRPr="00D41CF2">
        <w:rPr>
          <w:rFonts w:ascii="Times New Roman" w:eastAsia="Times New Roman" w:hAnsi="Times New Roman" w:cs="Times New Roman"/>
          <w:lang w:eastAsia="uk-UA"/>
        </w:rPr>
        <w:t xml:space="preserve">. </w:t>
      </w:r>
      <w:r w:rsidR="00BD3E50" w:rsidRPr="00D41CF2">
        <w:rPr>
          <w:rFonts w:ascii="Times New Roman" w:eastAsia="Times New Roman" w:hAnsi="Times New Roman" w:cs="Times New Roman"/>
          <w:lang w:eastAsia="uk-UA"/>
        </w:rPr>
        <w:t>На даний час с</w:t>
      </w:r>
      <w:r w:rsidR="007F2565" w:rsidRPr="00D41CF2">
        <w:rPr>
          <w:rFonts w:ascii="Times New Roman" w:eastAsia="Times New Roman" w:hAnsi="Times New Roman" w:cs="Times New Roman"/>
          <w:lang w:eastAsia="uk-UA"/>
        </w:rPr>
        <w:t xml:space="preserve">тан целюлозної ізоляції по оцінкам концентрації </w:t>
      </w:r>
      <w:proofErr w:type="spellStart"/>
      <w:r w:rsidR="007F2565" w:rsidRPr="00D41CF2">
        <w:rPr>
          <w:rFonts w:ascii="Times New Roman" w:eastAsia="Times New Roman" w:hAnsi="Times New Roman" w:cs="Times New Roman"/>
          <w:lang w:eastAsia="uk-UA"/>
        </w:rPr>
        <w:t>фуранових</w:t>
      </w:r>
      <w:proofErr w:type="spellEnd"/>
      <w:r w:rsidR="007F2565" w:rsidRPr="00D41CF2">
        <w:rPr>
          <w:rFonts w:ascii="Times New Roman" w:eastAsia="Times New Roman" w:hAnsi="Times New Roman" w:cs="Times New Roman"/>
          <w:lang w:eastAsia="uk-UA"/>
        </w:rPr>
        <w:t xml:space="preserve"> з'єднань </w:t>
      </w:r>
      <w:r w:rsidR="00EF0994" w:rsidRPr="00D41CF2">
        <w:rPr>
          <w:rFonts w:ascii="Times New Roman" w:eastAsia="Times New Roman" w:hAnsi="Times New Roman" w:cs="Times New Roman"/>
          <w:lang w:eastAsia="uk-UA"/>
        </w:rPr>
        <w:t>відповідає граничному по ступеню полімеризації. У такому стані діелектрична міцність ізоляції може знизитись у два рази. Це означає, що при максимальни</w:t>
      </w:r>
      <w:r w:rsidRPr="00D41CF2">
        <w:rPr>
          <w:rFonts w:ascii="Times New Roman" w:eastAsia="Times New Roman" w:hAnsi="Times New Roman" w:cs="Times New Roman"/>
          <w:lang w:eastAsia="uk-UA"/>
        </w:rPr>
        <w:t>х комутаційних перенапругах можуть</w:t>
      </w:r>
      <w:r w:rsidR="00EF0994" w:rsidRPr="00D41CF2">
        <w:rPr>
          <w:rFonts w:ascii="Times New Roman" w:eastAsia="Times New Roman" w:hAnsi="Times New Roman" w:cs="Times New Roman"/>
          <w:lang w:eastAsia="uk-UA"/>
        </w:rPr>
        <w:t xml:space="preserve"> створюватись умови для утворення </w:t>
      </w:r>
      <w:r w:rsidR="0047226A" w:rsidRPr="00D41CF2">
        <w:rPr>
          <w:rFonts w:ascii="Times New Roman" w:eastAsia="Times New Roman" w:hAnsi="Times New Roman" w:cs="Times New Roman"/>
          <w:lang w:eastAsia="uk-UA"/>
        </w:rPr>
        <w:t>часткових</w:t>
      </w:r>
      <w:r w:rsidR="00ED0069" w:rsidRPr="00D41CF2">
        <w:rPr>
          <w:rFonts w:ascii="Times New Roman" w:eastAsia="Times New Roman" w:hAnsi="Times New Roman" w:cs="Times New Roman"/>
          <w:lang w:eastAsia="uk-UA"/>
        </w:rPr>
        <w:t xml:space="preserve"> </w:t>
      </w:r>
      <w:r w:rsidR="0047226A" w:rsidRPr="00D41CF2">
        <w:rPr>
          <w:rFonts w:ascii="Times New Roman" w:eastAsia="Times New Roman" w:hAnsi="Times New Roman" w:cs="Times New Roman"/>
          <w:lang w:eastAsia="uk-UA"/>
        </w:rPr>
        <w:t>розрядів</w:t>
      </w:r>
      <w:r w:rsidR="00ED0069" w:rsidRPr="00D41CF2">
        <w:rPr>
          <w:rFonts w:ascii="Times New Roman" w:eastAsia="Times New Roman" w:hAnsi="Times New Roman" w:cs="Times New Roman"/>
          <w:lang w:eastAsia="uk-UA"/>
        </w:rPr>
        <w:t xml:space="preserve"> та в подальшому пробо</w:t>
      </w:r>
      <w:r w:rsidR="0047226A" w:rsidRPr="00D41CF2">
        <w:rPr>
          <w:rFonts w:ascii="Times New Roman" w:eastAsia="Times New Roman" w:hAnsi="Times New Roman" w:cs="Times New Roman"/>
          <w:lang w:eastAsia="uk-UA"/>
        </w:rPr>
        <w:t>ю</w:t>
      </w:r>
      <w:r w:rsidR="00ED0069" w:rsidRPr="00D41CF2">
        <w:rPr>
          <w:rFonts w:ascii="Times New Roman" w:eastAsia="Times New Roman" w:hAnsi="Times New Roman" w:cs="Times New Roman"/>
          <w:lang w:eastAsia="uk-UA"/>
        </w:rPr>
        <w:t xml:space="preserve"> ізоляції. Також при такій ізоляції знижуються стійкість обмоток при короткому замиканні</w:t>
      </w:r>
      <w:r w:rsidR="00D63D3E" w:rsidRPr="00D41CF2">
        <w:rPr>
          <w:rFonts w:ascii="Times New Roman" w:eastAsia="Times New Roman" w:hAnsi="Times New Roman" w:cs="Times New Roman"/>
          <w:lang w:eastAsia="uk-UA"/>
        </w:rPr>
        <w:t>, що призведе до механічних пошкоджень трансформатору</w:t>
      </w:r>
      <w:r w:rsidR="00ED0069" w:rsidRPr="00D41CF2">
        <w:rPr>
          <w:rFonts w:ascii="Times New Roman" w:eastAsia="Times New Roman" w:hAnsi="Times New Roman" w:cs="Times New Roman"/>
          <w:lang w:eastAsia="uk-UA"/>
        </w:rPr>
        <w:t xml:space="preserve">. </w:t>
      </w:r>
      <w:r w:rsidR="00D63D3E" w:rsidRPr="00D41CF2">
        <w:rPr>
          <w:rFonts w:ascii="Times New Roman" w:eastAsia="Times New Roman" w:hAnsi="Times New Roman" w:cs="Times New Roman"/>
          <w:lang w:eastAsia="uk-UA"/>
        </w:rPr>
        <w:t>Ризики експлуатації збільшуються, оскільки поява експлуатаційних неномінальних режимів непередбачуван</w:t>
      </w:r>
      <w:r w:rsidR="000F3AAB" w:rsidRPr="00D41CF2">
        <w:rPr>
          <w:rFonts w:ascii="Times New Roman" w:eastAsia="Times New Roman" w:hAnsi="Times New Roman" w:cs="Times New Roman"/>
          <w:lang w:eastAsia="uk-UA"/>
        </w:rPr>
        <w:t>а</w:t>
      </w:r>
      <w:r w:rsidR="0047226A" w:rsidRPr="00D41CF2">
        <w:rPr>
          <w:rFonts w:ascii="Times New Roman" w:eastAsia="Times New Roman" w:hAnsi="Times New Roman" w:cs="Times New Roman"/>
          <w:lang w:eastAsia="uk-UA"/>
        </w:rPr>
        <w:t>.</w:t>
      </w:r>
    </w:p>
    <w:p w:rsidR="007F2565" w:rsidRPr="00D41CF2" w:rsidRDefault="0026164E" w:rsidP="0037390C">
      <w:pPr>
        <w:pStyle w:val="a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D41CF2">
        <w:rPr>
          <w:rFonts w:ascii="Times New Roman" w:eastAsia="Times New Roman" w:hAnsi="Times New Roman" w:cs="Times New Roman"/>
          <w:lang w:eastAsia="uk-UA"/>
        </w:rPr>
        <w:t>Враховуючи вищевикладене</w:t>
      </w:r>
      <w:r w:rsidR="00E74B78" w:rsidRPr="00D41CF2">
        <w:rPr>
          <w:rFonts w:ascii="Times New Roman" w:eastAsia="Times New Roman" w:hAnsi="Times New Roman" w:cs="Times New Roman"/>
          <w:lang w:eastAsia="uk-UA"/>
        </w:rPr>
        <w:t>,</w:t>
      </w:r>
      <w:r w:rsidRPr="00D41CF2">
        <w:rPr>
          <w:rFonts w:ascii="Times New Roman" w:eastAsia="Times New Roman" w:hAnsi="Times New Roman" w:cs="Times New Roman"/>
          <w:lang w:eastAsia="uk-UA"/>
        </w:rPr>
        <w:t xml:space="preserve"> заміна трансформатору є вкрай необхідною</w:t>
      </w:r>
      <w:r w:rsidR="0047226A" w:rsidRPr="00D41CF2">
        <w:rPr>
          <w:rFonts w:ascii="Times New Roman" w:eastAsia="Times New Roman" w:hAnsi="Times New Roman" w:cs="Times New Roman"/>
          <w:lang w:eastAsia="uk-UA"/>
        </w:rPr>
        <w:t xml:space="preserve">, тому що при </w:t>
      </w:r>
      <w:r w:rsidR="00B83E5C" w:rsidRPr="00D41CF2">
        <w:rPr>
          <w:rFonts w:ascii="Times New Roman" w:eastAsia="Times New Roman" w:hAnsi="Times New Roman" w:cs="Times New Roman"/>
          <w:lang w:eastAsia="uk-UA"/>
        </w:rPr>
        <w:t xml:space="preserve">виході </w:t>
      </w:r>
      <w:r w:rsidR="0047226A" w:rsidRPr="00D41CF2">
        <w:rPr>
          <w:rFonts w:ascii="Times New Roman" w:eastAsia="Times New Roman" w:hAnsi="Times New Roman" w:cs="Times New Roman"/>
          <w:lang w:eastAsia="uk-UA"/>
        </w:rPr>
        <w:t xml:space="preserve">з ладу </w:t>
      </w:r>
      <w:r w:rsidR="0057221B" w:rsidRPr="00D41CF2">
        <w:rPr>
          <w:rFonts w:ascii="Times New Roman" w:eastAsia="Times New Roman" w:hAnsi="Times New Roman" w:cs="Times New Roman"/>
          <w:lang w:eastAsia="uk-UA"/>
        </w:rPr>
        <w:t xml:space="preserve">трансформатору Т-3 відбудеться відключення турбіни Т-100/120-130-3 ст. №3, що призведе до </w:t>
      </w:r>
      <w:r w:rsidR="008E375E" w:rsidRPr="00D41CF2">
        <w:rPr>
          <w:rFonts w:ascii="Times New Roman" w:eastAsia="Times New Roman" w:hAnsi="Times New Roman" w:cs="Times New Roman"/>
          <w:lang w:eastAsia="uk-UA"/>
        </w:rPr>
        <w:t>недовиробітку</w:t>
      </w:r>
      <w:r w:rsidR="0057221B" w:rsidRPr="00D41CF2">
        <w:rPr>
          <w:rFonts w:ascii="Times New Roman" w:eastAsia="Times New Roman" w:hAnsi="Times New Roman" w:cs="Times New Roman"/>
          <w:lang w:eastAsia="uk-UA"/>
        </w:rPr>
        <w:t xml:space="preserve"> електричної енергії приблизно 100 мВт, а в найгіршому випадку при падінні рівня води в </w:t>
      </w:r>
      <w:proofErr w:type="spellStart"/>
      <w:r w:rsidR="0057221B" w:rsidRPr="00D41CF2">
        <w:rPr>
          <w:rFonts w:ascii="Times New Roman" w:eastAsia="Times New Roman" w:hAnsi="Times New Roman" w:cs="Times New Roman"/>
          <w:lang w:eastAsia="uk-UA"/>
        </w:rPr>
        <w:t>водопідвідному</w:t>
      </w:r>
      <w:proofErr w:type="spellEnd"/>
      <w:r w:rsidR="0057221B" w:rsidRPr="00D41CF2">
        <w:rPr>
          <w:rFonts w:ascii="Times New Roman" w:eastAsia="Times New Roman" w:hAnsi="Times New Roman" w:cs="Times New Roman"/>
          <w:lang w:eastAsia="uk-UA"/>
        </w:rPr>
        <w:t xml:space="preserve"> каналі р. Десна до нижче допустимого </w:t>
      </w:r>
      <w:r w:rsidR="008E375E" w:rsidRPr="00D41CF2">
        <w:rPr>
          <w:rFonts w:ascii="Times New Roman" w:eastAsia="Times New Roman" w:hAnsi="Times New Roman" w:cs="Times New Roman"/>
          <w:lang w:eastAsia="uk-UA"/>
        </w:rPr>
        <w:t>призведе до відключення</w:t>
      </w:r>
      <w:r w:rsidR="0057221B" w:rsidRPr="00D41CF2">
        <w:rPr>
          <w:rFonts w:ascii="Times New Roman" w:eastAsia="Times New Roman" w:hAnsi="Times New Roman" w:cs="Times New Roman"/>
          <w:lang w:eastAsia="uk-UA"/>
        </w:rPr>
        <w:t xml:space="preserve"> турбін ПТ-50/60-130/7 ст. №1 та №2</w:t>
      </w:r>
      <w:r w:rsidR="008E375E" w:rsidRPr="00D41CF2">
        <w:rPr>
          <w:rFonts w:ascii="Times New Roman" w:eastAsia="Times New Roman" w:hAnsi="Times New Roman" w:cs="Times New Roman"/>
          <w:lang w:eastAsia="uk-UA"/>
        </w:rPr>
        <w:t xml:space="preserve">, </w:t>
      </w:r>
      <w:r w:rsidR="00E41D90" w:rsidRPr="00D41CF2">
        <w:rPr>
          <w:rFonts w:ascii="Times New Roman" w:eastAsia="Times New Roman" w:hAnsi="Times New Roman" w:cs="Times New Roman"/>
          <w:lang w:eastAsia="uk-UA"/>
        </w:rPr>
        <w:t xml:space="preserve">що повністю зупинить виробництво теплової та </w:t>
      </w:r>
      <w:r w:rsidR="008E375E" w:rsidRPr="00D41CF2">
        <w:rPr>
          <w:rFonts w:ascii="Times New Roman" w:eastAsia="Times New Roman" w:hAnsi="Times New Roman" w:cs="Times New Roman"/>
          <w:lang w:eastAsia="uk-UA"/>
        </w:rPr>
        <w:t>електричної енергії</w:t>
      </w:r>
      <w:r w:rsidR="0047226A" w:rsidRPr="00D41CF2">
        <w:rPr>
          <w:rFonts w:ascii="Times New Roman" w:eastAsia="Times New Roman" w:hAnsi="Times New Roman" w:cs="Times New Roman"/>
          <w:lang w:eastAsia="uk-UA"/>
        </w:rPr>
        <w:t>.</w:t>
      </w:r>
    </w:p>
    <w:p w:rsidR="00683C51" w:rsidRPr="00D41CF2" w:rsidRDefault="00895DFD" w:rsidP="0037390C">
      <w:pPr>
        <w:pStyle w:val="a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D41CF2">
        <w:rPr>
          <w:rFonts w:ascii="Times New Roman" w:eastAsia="Times New Roman" w:hAnsi="Times New Roman" w:cs="Times New Roman"/>
          <w:lang w:eastAsia="uk-UA"/>
        </w:rPr>
        <w:t>Впровадження даного заходу</w:t>
      </w:r>
      <w:r w:rsidR="00683C51" w:rsidRPr="00D41CF2">
        <w:rPr>
          <w:rFonts w:ascii="Times New Roman" w:eastAsia="Times New Roman" w:hAnsi="Times New Roman" w:cs="Times New Roman"/>
          <w:lang w:eastAsia="uk-UA"/>
        </w:rPr>
        <w:t xml:space="preserve"> дозволить станції в літній періо</w:t>
      </w:r>
      <w:r w:rsidR="000F3AAB" w:rsidRPr="00D41CF2">
        <w:rPr>
          <w:rFonts w:ascii="Times New Roman" w:eastAsia="Times New Roman" w:hAnsi="Times New Roman" w:cs="Times New Roman"/>
          <w:lang w:eastAsia="uk-UA"/>
        </w:rPr>
        <w:t>д</w:t>
      </w:r>
      <w:r w:rsidR="00683C51" w:rsidRPr="00D41CF2">
        <w:rPr>
          <w:rFonts w:ascii="Times New Roman" w:eastAsia="Times New Roman" w:hAnsi="Times New Roman" w:cs="Times New Roman"/>
          <w:lang w:eastAsia="uk-UA"/>
        </w:rPr>
        <w:t xml:space="preserve"> перейти на роботу турбіною Т-100/120-130-3 ст. №3 та котлоагрегатом ТГМ-84Б ст. №5, що дасть значне зменшення витрат на власні потреби та здешевле</w:t>
      </w:r>
      <w:r w:rsidR="008F7716" w:rsidRPr="00D41CF2">
        <w:rPr>
          <w:rFonts w:ascii="Times New Roman" w:eastAsia="Times New Roman" w:hAnsi="Times New Roman" w:cs="Times New Roman"/>
          <w:lang w:eastAsia="uk-UA"/>
        </w:rPr>
        <w:t>ння собівартості електроенергії,</w:t>
      </w:r>
      <w:r w:rsidR="00683C51" w:rsidRPr="00D41CF2">
        <w:rPr>
          <w:rFonts w:ascii="Times New Roman" w:eastAsia="Times New Roman" w:hAnsi="Times New Roman" w:cs="Times New Roman"/>
          <w:lang w:eastAsia="uk-UA"/>
        </w:rPr>
        <w:t xml:space="preserve"> можливість оперативного навантаження та розвантаження станції для покриття електричних піків.</w:t>
      </w:r>
    </w:p>
    <w:p w:rsidR="00875EDA" w:rsidRPr="00D41CF2" w:rsidRDefault="004E4F84" w:rsidP="0037390C">
      <w:pPr>
        <w:pStyle w:val="a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uk-UA"/>
        </w:rPr>
      </w:pPr>
      <w:r w:rsidRPr="00D41CF2">
        <w:rPr>
          <w:rFonts w:ascii="Times New Roman" w:eastAsia="Times New Roman" w:hAnsi="Times New Roman" w:cs="Times New Roman"/>
          <w:lang w:eastAsia="uk-UA"/>
        </w:rPr>
        <w:t>Вартість заходу</w:t>
      </w:r>
      <w:r w:rsidR="00875EDA" w:rsidRPr="00D41CF2">
        <w:rPr>
          <w:rFonts w:ascii="Times New Roman" w:eastAsia="Times New Roman" w:hAnsi="Times New Roman" w:cs="Times New Roman"/>
          <w:lang w:eastAsia="uk-UA"/>
        </w:rPr>
        <w:t>, запланован</w:t>
      </w:r>
      <w:r w:rsidRPr="00D41CF2">
        <w:rPr>
          <w:rFonts w:ascii="Times New Roman" w:eastAsia="Times New Roman" w:hAnsi="Times New Roman" w:cs="Times New Roman"/>
          <w:lang w:eastAsia="uk-UA"/>
        </w:rPr>
        <w:t>ого до реалізації</w:t>
      </w:r>
      <w:bookmarkStart w:id="0" w:name="_GoBack"/>
      <w:bookmarkEnd w:id="0"/>
      <w:r w:rsidR="00875EDA" w:rsidRPr="00D41CF2">
        <w:rPr>
          <w:rFonts w:ascii="Times New Roman" w:eastAsia="Times New Roman" w:hAnsi="Times New Roman" w:cs="Times New Roman"/>
          <w:lang w:eastAsia="uk-UA"/>
        </w:rPr>
        <w:t xml:space="preserve">, становить </w:t>
      </w:r>
      <w:r w:rsidR="00D15805" w:rsidRPr="00D41CF2">
        <w:rPr>
          <w:rFonts w:ascii="Times New Roman" w:eastAsia="Times New Roman" w:hAnsi="Times New Roman" w:cs="Times New Roman"/>
          <w:b/>
          <w:lang w:eastAsia="uk-UA"/>
        </w:rPr>
        <w:t>31 448.1</w:t>
      </w:r>
      <w:r w:rsidR="00D15805" w:rsidRPr="00D41CF2">
        <w:rPr>
          <w:rFonts w:ascii="Times New Roman" w:eastAsia="Times New Roman" w:hAnsi="Times New Roman" w:cs="Times New Roman"/>
          <w:lang w:eastAsia="uk-UA"/>
        </w:rPr>
        <w:t xml:space="preserve"> тис. гр</w:t>
      </w:r>
      <w:r w:rsidR="00875EDA" w:rsidRPr="00D41CF2">
        <w:rPr>
          <w:rFonts w:ascii="Times New Roman" w:eastAsia="Times New Roman" w:hAnsi="Times New Roman" w:cs="Times New Roman"/>
          <w:lang w:eastAsia="uk-UA"/>
        </w:rPr>
        <w:t>н</w:t>
      </w:r>
      <w:r w:rsidR="00D15805" w:rsidRPr="00D41CF2">
        <w:rPr>
          <w:rFonts w:ascii="Times New Roman" w:eastAsia="Times New Roman" w:hAnsi="Times New Roman" w:cs="Times New Roman"/>
          <w:lang w:eastAsia="uk-UA"/>
        </w:rPr>
        <w:t>.</w:t>
      </w:r>
      <w:r w:rsidR="00875EDA" w:rsidRPr="00D41CF2">
        <w:rPr>
          <w:rFonts w:ascii="Times New Roman" w:eastAsia="Times New Roman" w:hAnsi="Times New Roman" w:cs="Times New Roman"/>
          <w:lang w:eastAsia="uk-UA"/>
        </w:rPr>
        <w:t xml:space="preserve"> без урахування податку на додану вартість.</w:t>
      </w:r>
    </w:p>
    <w:p w:rsidR="00B83E5C" w:rsidRDefault="00B83E5C" w:rsidP="00D41CF2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8"/>
          <w:lang w:val="en-US" w:eastAsia="uk-UA"/>
        </w:rPr>
      </w:pPr>
    </w:p>
    <w:p w:rsidR="00D41CF2" w:rsidRPr="00D41CF2" w:rsidRDefault="00D41CF2" w:rsidP="00D41CF2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8"/>
          <w:lang w:val="en-US" w:eastAsia="uk-UA"/>
        </w:rPr>
      </w:pPr>
    </w:p>
    <w:tbl>
      <w:tblPr>
        <w:tblpPr w:leftFromText="180" w:rightFromText="180" w:vertAnchor="text" w:horzAnchor="margin" w:tblpY="124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410"/>
        <w:gridCol w:w="7513"/>
      </w:tblGrid>
      <w:tr w:rsidR="00020031" w:rsidRPr="00806635" w:rsidTr="007338D9">
        <w:trPr>
          <w:trHeight w:val="296"/>
        </w:trPr>
        <w:tc>
          <w:tcPr>
            <w:tcW w:w="595" w:type="dxa"/>
            <w:shd w:val="clear" w:color="auto" w:fill="auto"/>
            <w:vAlign w:val="center"/>
          </w:tcPr>
          <w:p w:rsidR="00020031" w:rsidRPr="00806635" w:rsidRDefault="00D15805" w:rsidP="00D15805">
            <w:pPr>
              <w:pStyle w:val="ad"/>
              <w:ind w:hanging="28"/>
              <w:jc w:val="center"/>
              <w:rPr>
                <w:sz w:val="20"/>
                <w:szCs w:val="20"/>
              </w:rPr>
            </w:pPr>
            <w:proofErr w:type="spellStart"/>
            <w:r w:rsidRPr="00D15805">
              <w:rPr>
                <w:rStyle w:val="a3"/>
                <w:sz w:val="20"/>
                <w:szCs w:val="20"/>
              </w:rPr>
              <w:t>№</w:t>
            </w:r>
            <w:r w:rsidR="00020031" w:rsidRPr="00806635">
              <w:rPr>
                <w:rStyle w:val="a3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20031" w:rsidRPr="00806635" w:rsidRDefault="00020031" w:rsidP="00D15805">
            <w:pPr>
              <w:pStyle w:val="ad"/>
              <w:ind w:hanging="28"/>
              <w:jc w:val="center"/>
              <w:rPr>
                <w:sz w:val="20"/>
                <w:szCs w:val="20"/>
              </w:rPr>
            </w:pPr>
            <w:r w:rsidRPr="00806635">
              <w:rPr>
                <w:rStyle w:val="a3"/>
                <w:sz w:val="20"/>
                <w:szCs w:val="20"/>
              </w:rPr>
              <w:t>Найменування робіт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20031" w:rsidRPr="000465D4" w:rsidRDefault="000465D4" w:rsidP="00D15805">
            <w:pPr>
              <w:pStyle w:val="ad"/>
              <w:ind w:firstLine="709"/>
              <w:jc w:val="center"/>
              <w:rPr>
                <w:b/>
                <w:sz w:val="20"/>
                <w:szCs w:val="20"/>
              </w:rPr>
            </w:pPr>
            <w:r w:rsidRPr="000465D4">
              <w:rPr>
                <w:b/>
                <w:sz w:val="20"/>
                <w:szCs w:val="20"/>
              </w:rPr>
              <w:t>Основні етапи</w:t>
            </w:r>
          </w:p>
        </w:tc>
      </w:tr>
      <w:tr w:rsidR="00020031" w:rsidRPr="00806635" w:rsidTr="007338D9">
        <w:trPr>
          <w:trHeight w:val="2089"/>
        </w:trPr>
        <w:tc>
          <w:tcPr>
            <w:tcW w:w="595" w:type="dxa"/>
            <w:shd w:val="clear" w:color="auto" w:fill="auto"/>
            <w:vAlign w:val="center"/>
          </w:tcPr>
          <w:p w:rsidR="00020031" w:rsidRPr="00806635" w:rsidRDefault="00D15805" w:rsidP="00D15805">
            <w:pPr>
              <w:pStyle w:val="a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0031" w:rsidRPr="00806635" w:rsidRDefault="005C7487" w:rsidP="007338D9">
            <w:pPr>
              <w:pStyle w:val="ad"/>
              <w:rPr>
                <w:sz w:val="20"/>
                <w:szCs w:val="20"/>
              </w:rPr>
            </w:pPr>
            <w:r w:rsidRPr="005C7487">
              <w:rPr>
                <w:sz w:val="20"/>
                <w:szCs w:val="20"/>
              </w:rPr>
              <w:t>Заміна трансформатору Т-3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C7487" w:rsidRPr="005C7487" w:rsidRDefault="005C7487" w:rsidP="007338D9">
            <w:pPr>
              <w:pStyle w:val="ad"/>
              <w:ind w:left="114" w:right="-28" w:firstLine="142"/>
              <w:rPr>
                <w:sz w:val="20"/>
                <w:szCs w:val="20"/>
              </w:rPr>
            </w:pPr>
            <w:r w:rsidRPr="005C7487">
              <w:rPr>
                <w:sz w:val="20"/>
                <w:szCs w:val="20"/>
              </w:rPr>
              <w:t xml:space="preserve">Основні етапи, які необхідно виконати </w:t>
            </w:r>
            <w:r w:rsidR="000465D4">
              <w:rPr>
                <w:sz w:val="20"/>
                <w:szCs w:val="20"/>
              </w:rPr>
              <w:t>при</w:t>
            </w:r>
            <w:r w:rsidR="00EC4702">
              <w:rPr>
                <w:sz w:val="20"/>
                <w:szCs w:val="20"/>
              </w:rPr>
              <w:t xml:space="preserve"> заміні трансформатору:</w:t>
            </w:r>
          </w:p>
          <w:p w:rsidR="005C7487" w:rsidRPr="005C7487" w:rsidRDefault="005C7487" w:rsidP="007338D9">
            <w:pPr>
              <w:pStyle w:val="ad"/>
              <w:ind w:left="114" w:right="113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38D9">
              <w:rPr>
                <w:sz w:val="20"/>
                <w:szCs w:val="20"/>
              </w:rPr>
              <w:t xml:space="preserve">. </w:t>
            </w:r>
            <w:r w:rsidRPr="005C7487">
              <w:rPr>
                <w:sz w:val="20"/>
                <w:szCs w:val="20"/>
              </w:rPr>
              <w:t>Виконати робочий проект заміни силового трансформатора типу ТДЦ-125000/110 (станційний Т-3) КЕП «Чернігівська ТЕЦ» ТОВ ФІРМИ «ТЕХНОВА».</w:t>
            </w:r>
          </w:p>
          <w:p w:rsidR="005C7487" w:rsidRPr="005C7487" w:rsidRDefault="000465D4" w:rsidP="007338D9">
            <w:pPr>
              <w:pStyle w:val="ad"/>
              <w:ind w:left="114" w:right="113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38D9">
              <w:rPr>
                <w:sz w:val="20"/>
                <w:szCs w:val="20"/>
              </w:rPr>
              <w:t xml:space="preserve">. </w:t>
            </w:r>
            <w:r w:rsidR="005C7487" w:rsidRPr="005C7487">
              <w:rPr>
                <w:sz w:val="20"/>
                <w:szCs w:val="20"/>
              </w:rPr>
              <w:t xml:space="preserve">Придбати силовий трансформатор, кабельну продукцію </w:t>
            </w:r>
            <w:r w:rsidR="00EC4702">
              <w:rPr>
                <w:sz w:val="20"/>
                <w:szCs w:val="20"/>
              </w:rPr>
              <w:t xml:space="preserve">та </w:t>
            </w:r>
            <w:r w:rsidR="005C7487" w:rsidRPr="005C7487">
              <w:rPr>
                <w:sz w:val="20"/>
                <w:szCs w:val="20"/>
              </w:rPr>
              <w:t xml:space="preserve">матеріали в </w:t>
            </w:r>
            <w:r w:rsidR="00EC4702">
              <w:rPr>
                <w:sz w:val="20"/>
                <w:szCs w:val="20"/>
              </w:rPr>
              <w:t>в</w:t>
            </w:r>
            <w:r w:rsidR="005C7487" w:rsidRPr="005C7487">
              <w:rPr>
                <w:sz w:val="20"/>
                <w:szCs w:val="20"/>
              </w:rPr>
              <w:t>ідповідно</w:t>
            </w:r>
            <w:r w:rsidR="00EC4702">
              <w:rPr>
                <w:sz w:val="20"/>
                <w:szCs w:val="20"/>
              </w:rPr>
              <w:t>сті</w:t>
            </w:r>
            <w:r w:rsidR="000F3AAB">
              <w:rPr>
                <w:sz w:val="20"/>
                <w:szCs w:val="20"/>
              </w:rPr>
              <w:t xml:space="preserve"> до</w:t>
            </w:r>
            <w:r w:rsidR="005C7487" w:rsidRPr="005C7487">
              <w:rPr>
                <w:sz w:val="20"/>
                <w:szCs w:val="20"/>
              </w:rPr>
              <w:t xml:space="preserve"> нового проекту.</w:t>
            </w:r>
          </w:p>
          <w:p w:rsidR="005C7487" w:rsidRPr="005C7487" w:rsidRDefault="000465D4" w:rsidP="007338D9">
            <w:pPr>
              <w:pStyle w:val="ad"/>
              <w:ind w:left="114" w:right="113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338D9">
              <w:rPr>
                <w:sz w:val="20"/>
                <w:szCs w:val="20"/>
              </w:rPr>
              <w:t xml:space="preserve">. </w:t>
            </w:r>
            <w:r w:rsidR="005C7487" w:rsidRPr="005C7487">
              <w:rPr>
                <w:sz w:val="20"/>
                <w:szCs w:val="20"/>
              </w:rPr>
              <w:t>Виконати демонтаж старого силового трансформатора</w:t>
            </w:r>
            <w:r>
              <w:rPr>
                <w:sz w:val="20"/>
                <w:szCs w:val="20"/>
              </w:rPr>
              <w:t xml:space="preserve"> та обладнання</w:t>
            </w:r>
            <w:r w:rsidR="005C7487" w:rsidRPr="005C7487">
              <w:rPr>
                <w:sz w:val="20"/>
                <w:szCs w:val="20"/>
              </w:rPr>
              <w:t>.</w:t>
            </w:r>
          </w:p>
          <w:p w:rsidR="005C7487" w:rsidRPr="005C7487" w:rsidRDefault="000465D4" w:rsidP="007338D9">
            <w:pPr>
              <w:pStyle w:val="ad"/>
              <w:ind w:left="114" w:right="113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338D9">
              <w:rPr>
                <w:sz w:val="20"/>
                <w:szCs w:val="20"/>
              </w:rPr>
              <w:t xml:space="preserve">. </w:t>
            </w:r>
            <w:r w:rsidR="005C7487" w:rsidRPr="005C7487">
              <w:rPr>
                <w:sz w:val="20"/>
                <w:szCs w:val="20"/>
              </w:rPr>
              <w:t xml:space="preserve">Виконати монтаж нового трансформатора, </w:t>
            </w:r>
            <w:proofErr w:type="spellStart"/>
            <w:r w:rsidR="005C7487" w:rsidRPr="005C7487">
              <w:rPr>
                <w:sz w:val="20"/>
                <w:szCs w:val="20"/>
              </w:rPr>
              <w:t>ошиновки</w:t>
            </w:r>
            <w:proofErr w:type="spellEnd"/>
            <w:r w:rsidR="005C7487" w:rsidRPr="005C7487">
              <w:rPr>
                <w:sz w:val="20"/>
                <w:szCs w:val="20"/>
              </w:rPr>
              <w:t>, кабельних зв'язків, системи пожежогасіння трансформатора, схеми автоматики системи охолодження і обдування трансформатора (з підключенням до існуючої схеми сигналізації), відповідно до проекту.</w:t>
            </w:r>
          </w:p>
          <w:p w:rsidR="005C7487" w:rsidRPr="005C7487" w:rsidRDefault="000465D4" w:rsidP="007338D9">
            <w:pPr>
              <w:pStyle w:val="ad"/>
              <w:ind w:left="114" w:right="113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338D9">
              <w:rPr>
                <w:sz w:val="20"/>
                <w:szCs w:val="20"/>
              </w:rPr>
              <w:t xml:space="preserve">. </w:t>
            </w:r>
            <w:r w:rsidR="005C7487" w:rsidRPr="005C7487">
              <w:rPr>
                <w:sz w:val="20"/>
                <w:szCs w:val="20"/>
              </w:rPr>
              <w:t>Провести необхідні випробування і вимірювання, згідно діючих нормативних документів.</w:t>
            </w:r>
          </w:p>
          <w:p w:rsidR="005C7487" w:rsidRDefault="000465D4" w:rsidP="007338D9">
            <w:pPr>
              <w:pStyle w:val="ad"/>
              <w:ind w:left="114" w:right="113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338D9">
              <w:rPr>
                <w:sz w:val="20"/>
                <w:szCs w:val="20"/>
              </w:rPr>
              <w:t xml:space="preserve">. </w:t>
            </w:r>
            <w:r w:rsidR="005C7487" w:rsidRPr="005C7487">
              <w:rPr>
                <w:sz w:val="20"/>
                <w:szCs w:val="20"/>
              </w:rPr>
              <w:t>Виконати пусконалагоджувальні роботи.</w:t>
            </w:r>
          </w:p>
          <w:p w:rsidR="008F7716" w:rsidRPr="005C7487" w:rsidRDefault="007338D9" w:rsidP="007338D9">
            <w:pPr>
              <w:pStyle w:val="ad"/>
              <w:ind w:left="114" w:right="113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8F7716" w:rsidRPr="008F7716">
              <w:rPr>
                <w:sz w:val="20"/>
                <w:szCs w:val="20"/>
              </w:rPr>
              <w:t>Надати протоколи випробувань та вимірювань, акт введення в експлуатацію, інструкцію по експлуатації</w:t>
            </w:r>
            <w:r w:rsidR="008F7716">
              <w:rPr>
                <w:sz w:val="20"/>
                <w:szCs w:val="20"/>
              </w:rPr>
              <w:t>.</w:t>
            </w:r>
          </w:p>
          <w:p w:rsidR="005C7487" w:rsidRPr="005C7487" w:rsidRDefault="00B43965" w:rsidP="007338D9">
            <w:pPr>
              <w:pStyle w:val="ad"/>
              <w:ind w:left="114" w:right="113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C7487" w:rsidRPr="005C7487">
              <w:rPr>
                <w:sz w:val="20"/>
                <w:szCs w:val="20"/>
              </w:rPr>
              <w:t>. Надати сертифікати відповідності обраного обладнання та апаратури згідно діючих пожежних, електротехнічних, будівельних норм, правил і стандартів.</w:t>
            </w:r>
          </w:p>
          <w:p w:rsidR="008451ED" w:rsidRPr="00806635" w:rsidRDefault="00B43965" w:rsidP="007338D9">
            <w:pPr>
              <w:pStyle w:val="ad"/>
              <w:ind w:left="114" w:right="113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C7487" w:rsidRPr="005C7487">
              <w:rPr>
                <w:sz w:val="20"/>
                <w:szCs w:val="20"/>
              </w:rPr>
              <w:t>. Ввести трансформатор зв'язку Т-3 в роботу.</w:t>
            </w:r>
          </w:p>
        </w:tc>
      </w:tr>
    </w:tbl>
    <w:p w:rsidR="00AC1FBB" w:rsidRPr="00806635" w:rsidRDefault="00AC1FBB" w:rsidP="000465D4">
      <w:pPr>
        <w:pStyle w:val="a9"/>
        <w:spacing w:after="0" w:line="240" w:lineRule="auto"/>
        <w:jc w:val="both"/>
        <w:rPr>
          <w:sz w:val="20"/>
          <w:szCs w:val="20"/>
        </w:rPr>
      </w:pPr>
    </w:p>
    <w:sectPr w:rsidR="00AC1FBB" w:rsidRPr="00806635" w:rsidSect="007338D9">
      <w:pgSz w:w="11906" w:h="16838"/>
      <w:pgMar w:top="426" w:right="707" w:bottom="28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panose1 w:val="02020603050405020304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49601FC"/>
    <w:multiLevelType w:val="hybridMultilevel"/>
    <w:tmpl w:val="F07A1C58"/>
    <w:lvl w:ilvl="0" w:tplc="62B40A42">
      <w:numFmt w:val="bullet"/>
      <w:lvlText w:val="-"/>
      <w:lvlJc w:val="left"/>
      <w:pPr>
        <w:ind w:left="758" w:hanging="360"/>
      </w:pPr>
      <w:rPr>
        <w:rFonts w:ascii="Liberation Serif" w:eastAsia="WenQuanYi Micro Hei" w:hAnsi="Liberation Serif" w:cs="Lohit Devanagari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60C4159E"/>
    <w:multiLevelType w:val="hybridMultilevel"/>
    <w:tmpl w:val="28AE1008"/>
    <w:lvl w:ilvl="0" w:tplc="EC900146">
      <w:numFmt w:val="bullet"/>
      <w:lvlText w:val="–"/>
      <w:lvlJc w:val="left"/>
      <w:pPr>
        <w:ind w:left="758" w:hanging="360"/>
      </w:pPr>
      <w:rPr>
        <w:rFonts w:ascii="Liberation Serif" w:eastAsia="WenQuanYi Micro Hei" w:hAnsi="Liberation Serif" w:cs="Lohit Devanagari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69830970"/>
    <w:multiLevelType w:val="hybridMultilevel"/>
    <w:tmpl w:val="E4A2D40C"/>
    <w:lvl w:ilvl="0" w:tplc="40149F18">
      <w:numFmt w:val="bullet"/>
      <w:lvlText w:val="-"/>
      <w:lvlJc w:val="left"/>
      <w:pPr>
        <w:ind w:left="1118" w:hanging="360"/>
      </w:pPr>
      <w:rPr>
        <w:rFonts w:ascii="Liberation Serif" w:eastAsia="WenQuanYi Micro Hei" w:hAnsi="Liberation Serif" w:cs="Lohit Devanagari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6">
    <w:nsid w:val="79477C5C"/>
    <w:multiLevelType w:val="hybridMultilevel"/>
    <w:tmpl w:val="F86A9512"/>
    <w:lvl w:ilvl="0" w:tplc="A6AE14FA">
      <w:numFmt w:val="bullet"/>
      <w:lvlText w:val="-"/>
      <w:lvlJc w:val="left"/>
      <w:pPr>
        <w:ind w:left="720" w:hanging="360"/>
      </w:pPr>
      <w:rPr>
        <w:rFonts w:ascii="Liberation Serif" w:eastAsia="WenQuanYi Micro Hei" w:hAnsi="Liberation Serif" w:cs="Lohit Devanaga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84"/>
    <w:rsid w:val="00020031"/>
    <w:rsid w:val="000465D4"/>
    <w:rsid w:val="0007643B"/>
    <w:rsid w:val="000A2D7B"/>
    <w:rsid w:val="000E38F9"/>
    <w:rsid w:val="000F3AAB"/>
    <w:rsid w:val="0025162D"/>
    <w:rsid w:val="00254184"/>
    <w:rsid w:val="0026164E"/>
    <w:rsid w:val="0030509A"/>
    <w:rsid w:val="00352CCF"/>
    <w:rsid w:val="0037390C"/>
    <w:rsid w:val="0047226A"/>
    <w:rsid w:val="00493B8F"/>
    <w:rsid w:val="004E4F84"/>
    <w:rsid w:val="0057221B"/>
    <w:rsid w:val="005C7487"/>
    <w:rsid w:val="00621B5B"/>
    <w:rsid w:val="00683C51"/>
    <w:rsid w:val="007338D9"/>
    <w:rsid w:val="00764C84"/>
    <w:rsid w:val="0077013B"/>
    <w:rsid w:val="00795D59"/>
    <w:rsid w:val="007E6505"/>
    <w:rsid w:val="007F2565"/>
    <w:rsid w:val="00806635"/>
    <w:rsid w:val="008451ED"/>
    <w:rsid w:val="00875EDA"/>
    <w:rsid w:val="00893E9C"/>
    <w:rsid w:val="00895DFD"/>
    <w:rsid w:val="008E375E"/>
    <w:rsid w:val="008F7716"/>
    <w:rsid w:val="0091364B"/>
    <w:rsid w:val="009D2C82"/>
    <w:rsid w:val="00A75827"/>
    <w:rsid w:val="00AA02A6"/>
    <w:rsid w:val="00AC1FBB"/>
    <w:rsid w:val="00B02E50"/>
    <w:rsid w:val="00B43965"/>
    <w:rsid w:val="00B83E5C"/>
    <w:rsid w:val="00BD3E50"/>
    <w:rsid w:val="00BE386C"/>
    <w:rsid w:val="00C40D8B"/>
    <w:rsid w:val="00C60126"/>
    <w:rsid w:val="00D15805"/>
    <w:rsid w:val="00D41CF2"/>
    <w:rsid w:val="00D63D3E"/>
    <w:rsid w:val="00E41D90"/>
    <w:rsid w:val="00E74B78"/>
    <w:rsid w:val="00EC4702"/>
    <w:rsid w:val="00ED0069"/>
    <w:rsid w:val="00EF0994"/>
    <w:rsid w:val="00F1073B"/>
    <w:rsid w:val="00F17C30"/>
    <w:rsid w:val="00F2215B"/>
    <w:rsid w:val="00F4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WenQuanYi Micro Hei" w:hAnsi="Liberation Serif" w:cs="Lohit Devanagari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a4">
    <w:name w:val="Символ нумерації"/>
  </w:style>
  <w:style w:type="character" w:styleId="a5">
    <w:name w:val="Hyperlink"/>
    <w:rPr>
      <w:color w:val="000080"/>
      <w:u w:val="single"/>
    </w:rPr>
  </w:style>
  <w:style w:type="character" w:styleId="a6">
    <w:name w:val="Emphasis"/>
    <w:qFormat/>
    <w:rPr>
      <w:i/>
      <w:iCs/>
    </w:rPr>
  </w:style>
  <w:style w:type="character" w:customStyle="1" w:styleId="a7">
    <w:name w:val="Маркери списку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c">
    <w:name w:val="Покажчик"/>
    <w:basedOn w:val="a"/>
    <w:pPr>
      <w:suppressLineNumbers/>
    </w:p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02E50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B02E50"/>
    <w:rPr>
      <w:rFonts w:ascii="Tahoma" w:eastAsia="WenQuanYi Micro Hei" w:hAnsi="Tahoma" w:cs="Mangal"/>
      <w:kern w:val="1"/>
      <w:sz w:val="16"/>
      <w:szCs w:val="14"/>
      <w:lang w:val="uk-UA" w:eastAsia="zh-CN" w:bidi="hi-IN"/>
    </w:rPr>
  </w:style>
  <w:style w:type="character" w:styleId="af1">
    <w:name w:val="annotation reference"/>
    <w:basedOn w:val="a0"/>
    <w:uiPriority w:val="99"/>
    <w:semiHidden/>
    <w:unhideWhenUsed/>
    <w:rsid w:val="00E74B7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4B78"/>
    <w:rPr>
      <w:rFonts w:cs="Mangal"/>
      <w:sz w:val="20"/>
      <w:szCs w:val="18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4B78"/>
    <w:rPr>
      <w:rFonts w:ascii="Liberation Serif" w:eastAsia="WenQuanYi Micro Hei" w:hAnsi="Liberation Serif" w:cs="Mangal"/>
      <w:kern w:val="1"/>
      <w:szCs w:val="18"/>
      <w:lang w:val="uk-UA" w:eastAsia="zh-CN" w:bidi="hi-I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4B7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4B78"/>
    <w:rPr>
      <w:rFonts w:ascii="Liberation Serif" w:eastAsia="WenQuanYi Micro Hei" w:hAnsi="Liberation Serif" w:cs="Mangal"/>
      <w:b/>
      <w:bCs/>
      <w:kern w:val="1"/>
      <w:szCs w:val="18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WenQuanYi Micro Hei" w:hAnsi="Liberation Serif" w:cs="Lohit Devanagari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a4">
    <w:name w:val="Символ нумерації"/>
  </w:style>
  <w:style w:type="character" w:styleId="a5">
    <w:name w:val="Hyperlink"/>
    <w:rPr>
      <w:color w:val="000080"/>
      <w:u w:val="single"/>
    </w:rPr>
  </w:style>
  <w:style w:type="character" w:styleId="a6">
    <w:name w:val="Emphasis"/>
    <w:qFormat/>
    <w:rPr>
      <w:i/>
      <w:iCs/>
    </w:rPr>
  </w:style>
  <w:style w:type="character" w:customStyle="1" w:styleId="a7">
    <w:name w:val="Маркери списку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c">
    <w:name w:val="Покажчик"/>
    <w:basedOn w:val="a"/>
    <w:pPr>
      <w:suppressLineNumbers/>
    </w:p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02E50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B02E50"/>
    <w:rPr>
      <w:rFonts w:ascii="Tahoma" w:eastAsia="WenQuanYi Micro Hei" w:hAnsi="Tahoma" w:cs="Mangal"/>
      <w:kern w:val="1"/>
      <w:sz w:val="16"/>
      <w:szCs w:val="14"/>
      <w:lang w:val="uk-UA" w:eastAsia="zh-CN" w:bidi="hi-IN"/>
    </w:rPr>
  </w:style>
  <w:style w:type="character" w:styleId="af1">
    <w:name w:val="annotation reference"/>
    <w:basedOn w:val="a0"/>
    <w:uiPriority w:val="99"/>
    <w:semiHidden/>
    <w:unhideWhenUsed/>
    <w:rsid w:val="00E74B7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4B78"/>
    <w:rPr>
      <w:rFonts w:cs="Mangal"/>
      <w:sz w:val="20"/>
      <w:szCs w:val="18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4B78"/>
    <w:rPr>
      <w:rFonts w:ascii="Liberation Serif" w:eastAsia="WenQuanYi Micro Hei" w:hAnsi="Liberation Serif" w:cs="Mangal"/>
      <w:kern w:val="1"/>
      <w:szCs w:val="18"/>
      <w:lang w:val="uk-UA" w:eastAsia="zh-CN" w:bidi="hi-I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4B7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4B78"/>
    <w:rPr>
      <w:rFonts w:ascii="Liberation Serif" w:eastAsia="WenQuanYi Micro Hei" w:hAnsi="Liberation Serif" w:cs="Mangal"/>
      <w:b/>
      <w:bCs/>
      <w:kern w:val="1"/>
      <w:szCs w:val="18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KucherenkoKV </dc:creator>
  <cp:keywords/>
  <dc:description/>
  <cp:lastModifiedBy>NytchenkoYuM</cp:lastModifiedBy>
  <cp:revision>4</cp:revision>
  <cp:lastPrinted>2020-03-05T10:47:00Z</cp:lastPrinted>
  <dcterms:created xsi:type="dcterms:W3CDTF">2020-02-20T11:38:00Z</dcterms:created>
  <dcterms:modified xsi:type="dcterms:W3CDTF">2020-03-05T12:08:00Z</dcterms:modified>
</cp:coreProperties>
</file>